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324" w14:textId="596B06AA" w:rsidR="004F43F2" w:rsidRPr="004F43F2" w:rsidRDefault="004F43F2" w:rsidP="004F43F2">
      <w:pPr>
        <w:jc w:val="center"/>
        <w:rPr>
          <w:sz w:val="18"/>
          <w:szCs w:val="18"/>
        </w:rPr>
      </w:pPr>
      <w:r w:rsidRPr="004F43F2">
        <w:rPr>
          <w:sz w:val="18"/>
          <w:szCs w:val="18"/>
        </w:rPr>
        <w:t xml:space="preserve">This document provides you with information about this </w:t>
      </w:r>
      <w:r w:rsidR="00BA05D4">
        <w:rPr>
          <w:sz w:val="18"/>
          <w:szCs w:val="18"/>
        </w:rPr>
        <w:t>Sub-Fund</w:t>
      </w:r>
      <w:r w:rsidRPr="004F43F2">
        <w:rPr>
          <w:sz w:val="18"/>
          <w:szCs w:val="18"/>
        </w:rPr>
        <w:t xml:space="preserve"> in relation to the Sustainable Finance Disclosure Regulation. It is not marketing material. The information is required by law to help you understand the sustainability characteristics and/or objectives and risks of this </w:t>
      </w:r>
      <w:r w:rsidR="00BA05D4">
        <w:rPr>
          <w:sz w:val="18"/>
          <w:szCs w:val="18"/>
        </w:rPr>
        <w:t>Sub-Fund</w:t>
      </w:r>
      <w:r w:rsidRPr="004F43F2">
        <w:rPr>
          <w:sz w:val="18"/>
          <w:szCs w:val="18"/>
        </w:rPr>
        <w:t xml:space="preserve">. You are advised to read it in conjunction with other relevant documentation on this </w:t>
      </w:r>
      <w:r w:rsidR="00BA05D4">
        <w:rPr>
          <w:sz w:val="18"/>
          <w:szCs w:val="18"/>
        </w:rPr>
        <w:t>Sub-Fund</w:t>
      </w:r>
      <w:r w:rsidRPr="004F43F2">
        <w:rPr>
          <w:sz w:val="18"/>
          <w:szCs w:val="18"/>
        </w:rPr>
        <w:t xml:space="preserve"> so you can make an informed decision about whether to invest.</w:t>
      </w:r>
    </w:p>
    <w:p w14:paraId="304FC4E7" w14:textId="2E742699" w:rsidR="005F2A4B" w:rsidRPr="00C97BF2" w:rsidRDefault="001017BF" w:rsidP="005F2A4B">
      <w:pPr>
        <w:jc w:val="center"/>
        <w:rPr>
          <w:b/>
          <w:bCs/>
          <w:color w:val="C00000"/>
          <w:sz w:val="32"/>
          <w:szCs w:val="32"/>
        </w:rPr>
      </w:pPr>
      <w:r>
        <w:rPr>
          <w:b/>
          <w:bCs/>
          <w:color w:val="C00000"/>
          <w:sz w:val="32"/>
          <w:szCs w:val="32"/>
        </w:rPr>
        <w:t xml:space="preserve">Summary </w:t>
      </w:r>
      <w:r w:rsidR="00FE701B" w:rsidRPr="00C97BF2">
        <w:rPr>
          <w:b/>
          <w:bCs/>
          <w:color w:val="C00000"/>
          <w:sz w:val="32"/>
          <w:szCs w:val="32"/>
        </w:rPr>
        <w:t>Sustainability-</w:t>
      </w:r>
      <w:r>
        <w:rPr>
          <w:b/>
          <w:bCs/>
          <w:color w:val="C00000"/>
          <w:sz w:val="32"/>
          <w:szCs w:val="32"/>
        </w:rPr>
        <w:t>R</w:t>
      </w:r>
      <w:r w:rsidR="00FE701B" w:rsidRPr="00C97BF2">
        <w:rPr>
          <w:b/>
          <w:bCs/>
          <w:color w:val="C00000"/>
          <w:sz w:val="32"/>
          <w:szCs w:val="32"/>
        </w:rPr>
        <w:t xml:space="preserve">elated </w:t>
      </w:r>
      <w:r>
        <w:rPr>
          <w:b/>
          <w:bCs/>
          <w:color w:val="C00000"/>
          <w:sz w:val="32"/>
          <w:szCs w:val="32"/>
        </w:rPr>
        <w:t>D</w:t>
      </w:r>
      <w:r w:rsidR="00FE701B" w:rsidRPr="00C97BF2">
        <w:rPr>
          <w:b/>
          <w:bCs/>
          <w:color w:val="C00000"/>
          <w:sz w:val="32"/>
          <w:szCs w:val="32"/>
        </w:rPr>
        <w:t>isclosure</w:t>
      </w:r>
    </w:p>
    <w:p w14:paraId="15C5DEE2" w14:textId="77D4EC4F" w:rsidR="005F2A4B" w:rsidRPr="00C97BF2" w:rsidRDefault="00C97BF2" w:rsidP="00C97BF2">
      <w:pPr>
        <w:jc w:val="center"/>
        <w:rPr>
          <w:b/>
          <w:bCs/>
          <w:sz w:val="32"/>
          <w:szCs w:val="32"/>
        </w:rPr>
      </w:pPr>
      <w:r w:rsidRPr="00C97BF2">
        <w:rPr>
          <w:b/>
          <w:bCs/>
          <w:sz w:val="32"/>
          <w:szCs w:val="32"/>
        </w:rPr>
        <w:t>Momentum GF Global Sustainable Equity Fund</w:t>
      </w:r>
    </w:p>
    <w:p w14:paraId="69231063" w14:textId="5DB1BB67" w:rsidR="008F38D5" w:rsidRDefault="008F38D5" w:rsidP="008F38D5">
      <w:pPr>
        <w:rPr>
          <w:rFonts w:cstheme="minorHAnsi"/>
          <w:i/>
          <w:iCs/>
          <w:color w:val="000000"/>
          <w:sz w:val="20"/>
          <w:szCs w:val="20"/>
        </w:rPr>
      </w:pPr>
      <w:r w:rsidRPr="008F38D5">
        <w:rPr>
          <w:rFonts w:cstheme="minorHAnsi"/>
          <w:i/>
          <w:iCs/>
          <w:sz w:val="20"/>
          <w:szCs w:val="20"/>
        </w:rPr>
        <w:t xml:space="preserve">This financial product promotes environmental or social </w:t>
      </w:r>
      <w:r w:rsidR="00BA05D4" w:rsidRPr="008F38D5">
        <w:rPr>
          <w:rFonts w:cstheme="minorHAnsi"/>
          <w:i/>
          <w:iCs/>
          <w:sz w:val="20"/>
          <w:szCs w:val="20"/>
        </w:rPr>
        <w:t>characteristics but</w:t>
      </w:r>
      <w:r w:rsidRPr="008F38D5">
        <w:rPr>
          <w:rFonts w:cstheme="minorHAnsi"/>
          <w:i/>
          <w:iCs/>
          <w:sz w:val="20"/>
          <w:szCs w:val="20"/>
        </w:rPr>
        <w:t xml:space="preserve"> does not have as its objective sustainable investment. </w:t>
      </w:r>
      <w:r w:rsidRPr="008F38D5">
        <w:rPr>
          <w:rFonts w:cstheme="minorHAnsi"/>
          <w:i/>
          <w:iCs/>
          <w:color w:val="000000"/>
          <w:sz w:val="20"/>
          <w:szCs w:val="20"/>
        </w:rPr>
        <w:t xml:space="preserve"> The Sub-Fund appoints </w:t>
      </w:r>
      <w:proofErr w:type="spellStart"/>
      <w:r w:rsidRPr="008F38D5">
        <w:rPr>
          <w:rFonts w:cstheme="minorHAnsi"/>
          <w:i/>
          <w:iCs/>
          <w:color w:val="000000"/>
          <w:sz w:val="20"/>
          <w:szCs w:val="20"/>
        </w:rPr>
        <w:t>Robeco</w:t>
      </w:r>
      <w:proofErr w:type="spellEnd"/>
      <w:r w:rsidRPr="008F38D5">
        <w:rPr>
          <w:rFonts w:cstheme="minorHAnsi"/>
          <w:i/>
          <w:iCs/>
          <w:color w:val="000000"/>
          <w:sz w:val="20"/>
          <w:szCs w:val="20"/>
        </w:rPr>
        <w:t xml:space="preserve"> Institutional Asset Management B.V. (“</w:t>
      </w:r>
      <w:proofErr w:type="spellStart"/>
      <w:r w:rsidRPr="008F38D5">
        <w:rPr>
          <w:rFonts w:cstheme="minorHAnsi"/>
          <w:i/>
          <w:iCs/>
          <w:color w:val="000000"/>
          <w:sz w:val="20"/>
          <w:szCs w:val="20"/>
        </w:rPr>
        <w:t>Robeco</w:t>
      </w:r>
      <w:proofErr w:type="spellEnd"/>
      <w:r w:rsidRPr="008F38D5">
        <w:rPr>
          <w:rFonts w:cstheme="minorHAnsi"/>
          <w:i/>
          <w:iCs/>
          <w:color w:val="000000"/>
          <w:sz w:val="20"/>
          <w:szCs w:val="20"/>
        </w:rPr>
        <w:t xml:space="preserve">”) as a Sub-Investment Manager and as such many of </w:t>
      </w:r>
      <w:proofErr w:type="spellStart"/>
      <w:r w:rsidRPr="008F38D5">
        <w:rPr>
          <w:rFonts w:cstheme="minorHAnsi"/>
          <w:i/>
          <w:iCs/>
          <w:color w:val="000000"/>
          <w:sz w:val="20"/>
          <w:szCs w:val="20"/>
        </w:rPr>
        <w:t>Robeco’s</w:t>
      </w:r>
      <w:proofErr w:type="spellEnd"/>
      <w:r w:rsidRPr="008F38D5">
        <w:rPr>
          <w:rFonts w:cstheme="minorHAnsi"/>
          <w:i/>
          <w:iCs/>
          <w:color w:val="000000"/>
          <w:sz w:val="20"/>
          <w:szCs w:val="20"/>
        </w:rPr>
        <w:t xml:space="preserve"> processes are followed as described throughout this document.</w:t>
      </w:r>
    </w:p>
    <w:p w14:paraId="1D0FBB93" w14:textId="67E64005" w:rsidR="008F38D5" w:rsidRPr="003E397D" w:rsidRDefault="003E397D" w:rsidP="008F38D5">
      <w:pPr>
        <w:rPr>
          <w:b/>
          <w:bCs/>
          <w:i/>
          <w:iCs/>
        </w:rPr>
      </w:pPr>
      <w:r w:rsidRPr="003E397D">
        <w:rPr>
          <w:b/>
          <w:bCs/>
        </w:rPr>
        <w:t xml:space="preserve">The </w:t>
      </w:r>
      <w:r w:rsidR="00BA05D4">
        <w:rPr>
          <w:b/>
          <w:bCs/>
        </w:rPr>
        <w:t>Sub-Fund</w:t>
      </w:r>
      <w:r w:rsidRPr="003E397D">
        <w:rPr>
          <w:b/>
          <w:bCs/>
        </w:rPr>
        <w:t xml:space="preserve"> has the following E/S characteristics:</w:t>
      </w:r>
    </w:p>
    <w:p w14:paraId="53C206F2" w14:textId="77777777" w:rsidR="008F38D5" w:rsidRPr="004C4459" w:rsidRDefault="008F38D5" w:rsidP="008F38D5">
      <w:pPr>
        <w:pStyle w:val="ListParagraph"/>
        <w:numPr>
          <w:ilvl w:val="0"/>
          <w:numId w:val="3"/>
        </w:numPr>
        <w:spacing w:after="120"/>
        <w:contextualSpacing w:val="0"/>
        <w:rPr>
          <w:rFonts w:asciiTheme="minorHAnsi" w:hAnsiTheme="minorHAnsi" w:cstheme="minorHAnsi"/>
          <w:bCs/>
          <w:sz w:val="20"/>
          <w:szCs w:val="20"/>
          <w:lang w:eastAsia="nl-NL"/>
        </w:rPr>
      </w:pPr>
      <w:r w:rsidRPr="004C4459">
        <w:rPr>
          <w:rFonts w:asciiTheme="minorHAnsi" w:hAnsiTheme="minorHAnsi" w:cstheme="minorHAnsi"/>
          <w:bCs/>
          <w:sz w:val="20"/>
          <w:szCs w:val="20"/>
          <w:lang w:eastAsia="nl-NL"/>
        </w:rPr>
        <w:t>The Sub-Fund promotes certain minimum environmental and social safeguards through applying exclusion criteria with regards to products and business practices that the Sub-Fund believes are detrimental to society and incompatible with sustainable investment strategies.</w:t>
      </w:r>
    </w:p>
    <w:p w14:paraId="559158DD" w14:textId="77777777" w:rsidR="008F38D5" w:rsidRPr="004C4459" w:rsidRDefault="008F38D5" w:rsidP="008F38D5">
      <w:pPr>
        <w:pStyle w:val="ListParagraph"/>
        <w:numPr>
          <w:ilvl w:val="0"/>
          <w:numId w:val="3"/>
        </w:numPr>
        <w:spacing w:after="120"/>
        <w:contextualSpacing w:val="0"/>
        <w:rPr>
          <w:rFonts w:asciiTheme="minorHAnsi" w:hAnsiTheme="minorHAnsi" w:cstheme="minorHAnsi"/>
          <w:bCs/>
          <w:sz w:val="20"/>
          <w:szCs w:val="20"/>
          <w:lang w:eastAsia="nl-NL"/>
        </w:rPr>
      </w:pPr>
      <w:r w:rsidRPr="004C4459">
        <w:rPr>
          <w:rFonts w:asciiTheme="minorHAnsi" w:hAnsiTheme="minorHAnsi" w:cstheme="minorHAnsi"/>
          <w:bCs/>
          <w:sz w:val="20"/>
          <w:szCs w:val="20"/>
          <w:lang w:eastAsia="nl-NL"/>
        </w:rPr>
        <w:t>The Sub-Fund promotes having a 20% lower environmental footprint than the general market index.</w:t>
      </w:r>
    </w:p>
    <w:p w14:paraId="440B0627" w14:textId="77777777" w:rsidR="008F38D5" w:rsidRPr="004C4459" w:rsidRDefault="008F38D5" w:rsidP="008F38D5">
      <w:pPr>
        <w:pStyle w:val="ListParagraph"/>
        <w:numPr>
          <w:ilvl w:val="0"/>
          <w:numId w:val="3"/>
        </w:numPr>
        <w:spacing w:after="120"/>
        <w:contextualSpacing w:val="0"/>
        <w:rPr>
          <w:rFonts w:asciiTheme="minorHAnsi" w:hAnsiTheme="minorHAnsi" w:cstheme="minorHAnsi"/>
          <w:bCs/>
          <w:sz w:val="20"/>
          <w:szCs w:val="20"/>
          <w:lang w:eastAsia="nl-NL"/>
        </w:rPr>
      </w:pPr>
      <w:r w:rsidRPr="004C4459">
        <w:rPr>
          <w:rFonts w:asciiTheme="minorHAnsi" w:hAnsiTheme="minorHAnsi" w:cstheme="minorHAnsi"/>
          <w:bCs/>
          <w:sz w:val="20"/>
          <w:szCs w:val="20"/>
          <w:lang w:eastAsia="nl-NL"/>
        </w:rPr>
        <w:t xml:space="preserve">The Sub-Fund promotes adherence to and conducting business activities in accordance with the United Nations Universal Declaration of Human Rights, the International </w:t>
      </w:r>
      <w:proofErr w:type="spellStart"/>
      <w:r w:rsidRPr="004C4459">
        <w:rPr>
          <w:rFonts w:asciiTheme="minorHAnsi" w:hAnsiTheme="minorHAnsi" w:cstheme="minorHAnsi"/>
          <w:bCs/>
          <w:sz w:val="20"/>
          <w:szCs w:val="20"/>
          <w:lang w:eastAsia="nl-NL"/>
        </w:rPr>
        <w:t>Labor</w:t>
      </w:r>
      <w:proofErr w:type="spellEnd"/>
      <w:r w:rsidRPr="004C4459">
        <w:rPr>
          <w:rFonts w:asciiTheme="minorHAnsi" w:hAnsiTheme="minorHAnsi" w:cstheme="minorHAnsi"/>
          <w:bCs/>
          <w:sz w:val="20"/>
          <w:szCs w:val="20"/>
          <w:lang w:eastAsia="nl-NL"/>
        </w:rPr>
        <w:t xml:space="preserve"> Organization's (ILO) </w:t>
      </w:r>
      <w:proofErr w:type="spellStart"/>
      <w:r w:rsidRPr="004C4459">
        <w:rPr>
          <w:rFonts w:asciiTheme="minorHAnsi" w:hAnsiTheme="minorHAnsi" w:cstheme="minorHAnsi"/>
          <w:bCs/>
          <w:sz w:val="20"/>
          <w:szCs w:val="20"/>
          <w:lang w:eastAsia="nl-NL"/>
        </w:rPr>
        <w:t>labor</w:t>
      </w:r>
      <w:proofErr w:type="spellEnd"/>
      <w:r w:rsidRPr="004C4459">
        <w:rPr>
          <w:rFonts w:asciiTheme="minorHAnsi" w:hAnsiTheme="minorHAnsi" w:cstheme="minorHAnsi"/>
          <w:bCs/>
          <w:sz w:val="20"/>
          <w:szCs w:val="20"/>
          <w:lang w:eastAsia="nl-NL"/>
        </w:rPr>
        <w:t xml:space="preserve"> standards, the United Nations Guiding Principles for Business and Human Rights (UNGPs), the United Nations Global Compact (UNGC) and the OECD Guidelines for Multinational Enterprises, by scrutinizing companies that violate these principles.</w:t>
      </w:r>
    </w:p>
    <w:p w14:paraId="75F7E746" w14:textId="77777777" w:rsidR="008F38D5" w:rsidRPr="004C4459" w:rsidRDefault="008F38D5" w:rsidP="008F38D5">
      <w:pPr>
        <w:pStyle w:val="ListParagraph"/>
        <w:numPr>
          <w:ilvl w:val="0"/>
          <w:numId w:val="3"/>
        </w:numPr>
        <w:spacing w:after="120"/>
        <w:contextualSpacing w:val="0"/>
        <w:rPr>
          <w:rFonts w:asciiTheme="minorHAnsi" w:hAnsiTheme="minorHAnsi" w:cstheme="minorHAnsi"/>
          <w:bCs/>
          <w:sz w:val="20"/>
          <w:szCs w:val="20"/>
          <w:lang w:eastAsia="nl-NL"/>
        </w:rPr>
      </w:pPr>
      <w:r w:rsidRPr="004C4459">
        <w:rPr>
          <w:rFonts w:asciiTheme="minorHAnsi" w:hAnsiTheme="minorHAnsi" w:cstheme="minorHAnsi"/>
          <w:bCs/>
          <w:sz w:val="20"/>
          <w:szCs w:val="20"/>
          <w:lang w:eastAsia="nl-NL"/>
        </w:rPr>
        <w:t>The Sub-Fund promotes having a weighted average ESG score that is 20% better than that of the general market index.</w:t>
      </w:r>
    </w:p>
    <w:p w14:paraId="1596C2F6" w14:textId="0B2C9F83" w:rsidR="008F38D5" w:rsidRDefault="008F38D5" w:rsidP="008F38D5">
      <w:pPr>
        <w:rPr>
          <w:rFonts w:cstheme="minorHAnsi"/>
          <w:sz w:val="20"/>
          <w:szCs w:val="20"/>
          <w:lang w:eastAsia="nl-NL"/>
        </w:rPr>
      </w:pPr>
      <w:r w:rsidRPr="004C4459">
        <w:rPr>
          <w:rFonts w:cstheme="minorHAnsi"/>
          <w:sz w:val="20"/>
          <w:szCs w:val="20"/>
          <w:lang w:eastAsia="nl-NL"/>
        </w:rPr>
        <w:t>There is no reference benchmark designated for the purpose of attaining the environmental or social characteristics promoted by the Sub-Fund. The ESG characteristics of the Sub-Fund are compared against general market indices.</w:t>
      </w:r>
    </w:p>
    <w:p w14:paraId="49F00D81" w14:textId="0DA88FF7" w:rsidR="003E397D" w:rsidRPr="003E397D" w:rsidRDefault="003E397D" w:rsidP="008F38D5">
      <w:pPr>
        <w:rPr>
          <w:b/>
          <w:bCs/>
        </w:rPr>
      </w:pPr>
      <w:r w:rsidRPr="003E397D">
        <w:rPr>
          <w:b/>
          <w:bCs/>
        </w:rPr>
        <w:t>Investment Strategy</w:t>
      </w:r>
    </w:p>
    <w:p w14:paraId="3A9DF4E4" w14:textId="55F35B55" w:rsidR="003E397D" w:rsidRPr="00753C3E" w:rsidRDefault="003E397D" w:rsidP="003E397D">
      <w:pPr>
        <w:pStyle w:val="ssPara1"/>
        <w:tabs>
          <w:tab w:val="left" w:pos="0"/>
        </w:tabs>
        <w:spacing w:after="120"/>
        <w:rPr>
          <w:rFonts w:asciiTheme="minorHAnsi" w:eastAsiaTheme="minorHAnsi" w:hAnsiTheme="minorHAnsi" w:cstheme="minorHAnsi"/>
          <w:color w:val="000000"/>
          <w:sz w:val="20"/>
          <w:szCs w:val="20"/>
          <w:lang w:eastAsia="en-US"/>
        </w:rPr>
      </w:pPr>
      <w:r w:rsidRPr="00753C3E">
        <w:rPr>
          <w:rFonts w:asciiTheme="minorHAnsi" w:eastAsiaTheme="minorHAnsi" w:hAnsiTheme="minorHAnsi" w:cstheme="minorHAnsi"/>
          <w:color w:val="000000"/>
          <w:sz w:val="20"/>
          <w:szCs w:val="20"/>
          <w:lang w:eastAsia="en-US"/>
        </w:rPr>
        <w:t>The Sub-Fund aims for an improved environmental footprint and a better sustainability profile compared to the Benchmark by integrating ESG (</w:t>
      </w:r>
      <w:r w:rsidR="00BA05D4" w:rsidRPr="00753C3E">
        <w:rPr>
          <w:rFonts w:asciiTheme="minorHAnsi" w:eastAsiaTheme="minorHAnsi" w:hAnsiTheme="minorHAnsi" w:cstheme="minorHAnsi"/>
          <w:color w:val="000000"/>
          <w:sz w:val="20"/>
          <w:szCs w:val="20"/>
          <w:lang w:eastAsia="en-US"/>
        </w:rPr>
        <w:t>i.e.,</w:t>
      </w:r>
      <w:r w:rsidRPr="00753C3E">
        <w:rPr>
          <w:rFonts w:asciiTheme="minorHAnsi" w:eastAsiaTheme="minorHAnsi" w:hAnsiTheme="minorHAnsi" w:cstheme="minorHAnsi"/>
          <w:color w:val="000000"/>
          <w:sz w:val="20"/>
          <w:szCs w:val="20"/>
          <w:lang w:eastAsia="en-US"/>
        </w:rPr>
        <w:t xml:space="preserve"> Environmental, Social and corporate Governance) factors. </w:t>
      </w:r>
      <w:r>
        <w:rPr>
          <w:rFonts w:asciiTheme="minorHAnsi" w:eastAsiaTheme="minorHAnsi" w:hAnsiTheme="minorHAnsi" w:cstheme="minorHAnsi"/>
          <w:color w:val="000000"/>
          <w:sz w:val="20"/>
          <w:szCs w:val="20"/>
          <w:lang w:eastAsia="en-US"/>
        </w:rPr>
        <w:t xml:space="preserve">The Sub-Fund </w:t>
      </w:r>
      <w:r w:rsidRPr="003E397D">
        <w:rPr>
          <w:rFonts w:asciiTheme="minorHAnsi" w:eastAsiaTheme="minorHAnsi" w:hAnsiTheme="minorHAnsi" w:cstheme="minorHAnsi"/>
          <w:color w:val="000000"/>
          <w:sz w:val="20"/>
          <w:szCs w:val="20"/>
          <w:lang w:eastAsia="en-US"/>
        </w:rPr>
        <w:t>is actively managed and invests in stocks of companies in developed markets. The selection of these stocks is based on a quantitative model.</w:t>
      </w:r>
    </w:p>
    <w:p w14:paraId="16A7B380" w14:textId="47DCFC40" w:rsidR="003E397D" w:rsidRDefault="003E397D" w:rsidP="003E397D">
      <w:pPr>
        <w:rPr>
          <w:rFonts w:cstheme="minorHAnsi"/>
          <w:sz w:val="20"/>
          <w:szCs w:val="20"/>
        </w:rPr>
      </w:pPr>
      <w:r w:rsidRPr="00753C3E">
        <w:rPr>
          <w:rFonts w:cstheme="minorHAnsi"/>
          <w:sz w:val="20"/>
          <w:szCs w:val="20"/>
        </w:rPr>
        <w:t xml:space="preserve">The strategy integrates sustainability indicators on a continuous basis as part of the stock selection process. Amongst others, the </w:t>
      </w:r>
      <w:r w:rsidR="00BA05D4">
        <w:rPr>
          <w:rFonts w:cstheme="minorHAnsi"/>
          <w:sz w:val="20"/>
          <w:szCs w:val="20"/>
        </w:rPr>
        <w:t>Sub-Fund</w:t>
      </w:r>
      <w:r w:rsidRPr="00753C3E">
        <w:rPr>
          <w:rFonts w:cstheme="minorHAnsi"/>
          <w:sz w:val="20"/>
          <w:szCs w:val="20"/>
        </w:rPr>
        <w:t xml:space="preserve"> applies norms-based and activity-based exclusions, </w:t>
      </w:r>
      <w:proofErr w:type="spellStart"/>
      <w:r w:rsidRPr="00753C3E">
        <w:rPr>
          <w:rFonts w:cstheme="minorHAnsi"/>
          <w:sz w:val="20"/>
          <w:szCs w:val="20"/>
        </w:rPr>
        <w:t>Robeco’s</w:t>
      </w:r>
      <w:proofErr w:type="spellEnd"/>
      <w:r w:rsidRPr="00753C3E">
        <w:rPr>
          <w:rFonts w:cstheme="minorHAnsi"/>
          <w:sz w:val="20"/>
          <w:szCs w:val="20"/>
        </w:rPr>
        <w:t xml:space="preserve"> good governance policy and considers Principal Adverse Impacts in the investment process.</w:t>
      </w:r>
    </w:p>
    <w:p w14:paraId="40604DDE" w14:textId="49E35254" w:rsidR="003E397D" w:rsidRPr="003E397D" w:rsidRDefault="003E397D" w:rsidP="003E397D">
      <w:pPr>
        <w:rPr>
          <w:b/>
          <w:bCs/>
        </w:rPr>
      </w:pPr>
      <w:r w:rsidRPr="003E397D">
        <w:rPr>
          <w:b/>
          <w:bCs/>
        </w:rPr>
        <w:t>Planned asset allocation</w:t>
      </w:r>
    </w:p>
    <w:p w14:paraId="30DA33FD" w14:textId="4C35874A" w:rsidR="003E397D" w:rsidRDefault="003E397D" w:rsidP="003E397D">
      <w:pPr>
        <w:rPr>
          <w:rFonts w:cstheme="minorHAnsi"/>
          <w:sz w:val="20"/>
          <w:szCs w:val="20"/>
        </w:rPr>
      </w:pPr>
      <w:r w:rsidRPr="003E397D">
        <w:rPr>
          <w:rFonts w:cstheme="minorHAnsi"/>
          <w:sz w:val="20"/>
          <w:szCs w:val="20"/>
        </w:rPr>
        <w:t xml:space="preserve">The </w:t>
      </w:r>
      <w:r w:rsidR="00BA05D4">
        <w:rPr>
          <w:rFonts w:cstheme="minorHAnsi"/>
          <w:sz w:val="20"/>
          <w:szCs w:val="20"/>
        </w:rPr>
        <w:t>Sub-Fund</w:t>
      </w:r>
      <w:r w:rsidRPr="003E397D">
        <w:rPr>
          <w:rFonts w:cstheme="minorHAnsi"/>
          <w:sz w:val="20"/>
          <w:szCs w:val="20"/>
        </w:rPr>
        <w:t xml:space="preserve"> plans to make a minimum amount of 50% sustainable investments. All investments are aligned with the E/S characteristics, </w:t>
      </w:r>
      <w:r w:rsidR="00BA05D4" w:rsidRPr="003E397D">
        <w:rPr>
          <w:rFonts w:cstheme="minorHAnsi"/>
          <w:sz w:val="20"/>
          <w:szCs w:val="20"/>
        </w:rPr>
        <w:t>except for</w:t>
      </w:r>
      <w:r w:rsidRPr="003E397D">
        <w:rPr>
          <w:rFonts w:cstheme="minorHAnsi"/>
          <w:sz w:val="20"/>
          <w:szCs w:val="20"/>
        </w:rPr>
        <w:t xml:space="preserve"> investments in the category “other” which are mostly cash and cash equivalents.</w:t>
      </w:r>
    </w:p>
    <w:p w14:paraId="28ABE406" w14:textId="13EE62DA" w:rsidR="003E397D" w:rsidRPr="003E397D" w:rsidRDefault="003E397D" w:rsidP="003E397D">
      <w:pPr>
        <w:rPr>
          <w:b/>
          <w:bCs/>
        </w:rPr>
      </w:pPr>
      <w:r w:rsidRPr="003E397D">
        <w:rPr>
          <w:b/>
          <w:bCs/>
        </w:rPr>
        <w:t>Monitoring and due diligence</w:t>
      </w:r>
    </w:p>
    <w:p w14:paraId="330C2926" w14:textId="2C0CAF70" w:rsidR="003E397D" w:rsidRPr="004F43F2" w:rsidRDefault="003E397D" w:rsidP="003E397D">
      <w:pPr>
        <w:rPr>
          <w:sz w:val="20"/>
          <w:szCs w:val="20"/>
        </w:rPr>
      </w:pPr>
      <w:r w:rsidRPr="004F43F2">
        <w:rPr>
          <w:sz w:val="20"/>
          <w:szCs w:val="20"/>
        </w:rPr>
        <w:t xml:space="preserve">The Sub-Fund has incorporated the sustainability aspects of the investment strategies by largely utilising </w:t>
      </w:r>
      <w:proofErr w:type="spellStart"/>
      <w:r w:rsidRPr="004F43F2">
        <w:rPr>
          <w:sz w:val="20"/>
          <w:szCs w:val="20"/>
        </w:rPr>
        <w:t>Robeco’s</w:t>
      </w:r>
      <w:proofErr w:type="spellEnd"/>
      <w:r w:rsidRPr="004F43F2">
        <w:rPr>
          <w:sz w:val="20"/>
          <w:szCs w:val="20"/>
        </w:rPr>
        <w:t xml:space="preserve"> investment due diligence processes and procedures for the selection and monitoring of investments. </w:t>
      </w:r>
      <w:proofErr w:type="spellStart"/>
      <w:r w:rsidRPr="004F43F2">
        <w:rPr>
          <w:sz w:val="20"/>
          <w:szCs w:val="20"/>
        </w:rPr>
        <w:t>Robeco’s</w:t>
      </w:r>
      <w:proofErr w:type="spellEnd"/>
      <w:r w:rsidRPr="004F43F2">
        <w:rPr>
          <w:sz w:val="20"/>
          <w:szCs w:val="20"/>
        </w:rPr>
        <w:t xml:space="preserve"> portfolio managers and analysts are primarily responsible for conducting investment due diligence </w:t>
      </w:r>
      <w:r w:rsidRPr="004F43F2">
        <w:rPr>
          <w:sz w:val="20"/>
          <w:szCs w:val="20"/>
        </w:rPr>
        <w:lastRenderedPageBreak/>
        <w:t xml:space="preserve">on their strategies on a daily basis. They are supported by independent monitoring, performed by </w:t>
      </w:r>
      <w:proofErr w:type="spellStart"/>
      <w:r w:rsidRPr="004F43F2">
        <w:rPr>
          <w:sz w:val="20"/>
          <w:szCs w:val="20"/>
        </w:rPr>
        <w:t>Robeco’s</w:t>
      </w:r>
      <w:proofErr w:type="spellEnd"/>
      <w:r w:rsidRPr="004F43F2">
        <w:rPr>
          <w:sz w:val="20"/>
          <w:szCs w:val="20"/>
        </w:rPr>
        <w:t xml:space="preserve"> Financial Risk Management and Investment Restrictions departments.</w:t>
      </w:r>
    </w:p>
    <w:p w14:paraId="7DB32D48" w14:textId="1529AE80" w:rsidR="003E397D" w:rsidRPr="004F43F2" w:rsidRDefault="003E397D" w:rsidP="003E397D">
      <w:pPr>
        <w:rPr>
          <w:sz w:val="20"/>
          <w:szCs w:val="20"/>
        </w:rPr>
      </w:pPr>
      <w:r w:rsidRPr="004F43F2">
        <w:rPr>
          <w:sz w:val="20"/>
          <w:szCs w:val="20"/>
        </w:rPr>
        <w:t xml:space="preserve">Oversight and independent verification of the investment strategy results are performed by </w:t>
      </w:r>
      <w:r w:rsidR="00BA05D4" w:rsidRPr="004F43F2">
        <w:rPr>
          <w:sz w:val="20"/>
          <w:szCs w:val="20"/>
        </w:rPr>
        <w:t>Momentum Global</w:t>
      </w:r>
      <w:r w:rsidRPr="004F43F2">
        <w:rPr>
          <w:sz w:val="20"/>
          <w:szCs w:val="20"/>
        </w:rPr>
        <w:t xml:space="preserve"> Investment Management Ltd (the Investment Manager)</w:t>
      </w:r>
      <w:r w:rsidR="004F43F2" w:rsidRPr="004F43F2">
        <w:rPr>
          <w:sz w:val="20"/>
          <w:szCs w:val="20"/>
        </w:rPr>
        <w:t>.</w:t>
      </w:r>
    </w:p>
    <w:p w14:paraId="0685BEE7" w14:textId="12564835" w:rsidR="003E397D" w:rsidRPr="004F43F2" w:rsidRDefault="004F43F2" w:rsidP="003E397D">
      <w:pPr>
        <w:rPr>
          <w:b/>
          <w:bCs/>
        </w:rPr>
      </w:pPr>
      <w:r w:rsidRPr="004F43F2">
        <w:rPr>
          <w:b/>
          <w:bCs/>
        </w:rPr>
        <w:t xml:space="preserve">Data sources, </w:t>
      </w:r>
      <w:r w:rsidR="00BA05D4" w:rsidRPr="004F43F2">
        <w:rPr>
          <w:b/>
          <w:bCs/>
        </w:rPr>
        <w:t>methodologies,</w:t>
      </w:r>
      <w:r w:rsidRPr="004F43F2">
        <w:rPr>
          <w:b/>
          <w:bCs/>
        </w:rPr>
        <w:t xml:space="preserve"> and limitations</w:t>
      </w:r>
    </w:p>
    <w:p w14:paraId="472F75ED" w14:textId="47A55BD1" w:rsidR="004F43F2" w:rsidRPr="004F43F2" w:rsidRDefault="004F43F2" w:rsidP="003E397D">
      <w:pPr>
        <w:rPr>
          <w:sz w:val="20"/>
          <w:szCs w:val="20"/>
        </w:rPr>
      </w:pPr>
      <w:r w:rsidRPr="004F43F2">
        <w:rPr>
          <w:sz w:val="20"/>
          <w:szCs w:val="20"/>
        </w:rPr>
        <w:t xml:space="preserve">The </w:t>
      </w:r>
      <w:r w:rsidR="00BA05D4">
        <w:rPr>
          <w:sz w:val="20"/>
          <w:szCs w:val="20"/>
        </w:rPr>
        <w:t>Sub-Fund</w:t>
      </w:r>
      <w:r w:rsidRPr="004F43F2">
        <w:rPr>
          <w:sz w:val="20"/>
          <w:szCs w:val="20"/>
        </w:rPr>
        <w:t xml:space="preserve"> uses several sources for gathering sustainability data. The data quality of each provider is reviewed during due diligence assessments, that includes reviewing the data model, performing statistical </w:t>
      </w:r>
      <w:r w:rsidR="00BA05D4" w:rsidRPr="004F43F2">
        <w:rPr>
          <w:sz w:val="20"/>
          <w:szCs w:val="20"/>
        </w:rPr>
        <w:t>checks,</w:t>
      </w:r>
      <w:r w:rsidRPr="004F43F2">
        <w:rPr>
          <w:sz w:val="20"/>
          <w:szCs w:val="20"/>
        </w:rPr>
        <w:t xml:space="preserve"> and evaluating coverage. Data processing takes places in different forms, the preference is always to have data acquisition as automated as possible to avoid any operational risks or unnecessary human intervention. For some social and environmental characteristics, the </w:t>
      </w:r>
      <w:r w:rsidR="00BA05D4">
        <w:rPr>
          <w:sz w:val="20"/>
          <w:szCs w:val="20"/>
        </w:rPr>
        <w:t>Sub-Fund</w:t>
      </w:r>
      <w:r w:rsidRPr="004F43F2">
        <w:rPr>
          <w:sz w:val="20"/>
          <w:szCs w:val="20"/>
        </w:rPr>
        <w:t xml:space="preserve"> relies on externally sourced content and aims to select the best of breed vendor for each of its target characteristics. The primary limitation to the methodology or data source is the lack of corporate disclosure. Like many other financial market participants, we struggle to find adequate information on the principal adverse indicators. To overcome this issue, the Sub-Fund uses multiple data providers, since each has its own respective strengths and weaknesses.</w:t>
      </w:r>
    </w:p>
    <w:p w14:paraId="0C884CB0" w14:textId="544AF2CD" w:rsidR="004F43F2" w:rsidRPr="004F43F2" w:rsidRDefault="004F43F2" w:rsidP="003E397D">
      <w:pPr>
        <w:rPr>
          <w:b/>
          <w:bCs/>
        </w:rPr>
      </w:pPr>
      <w:r w:rsidRPr="004F43F2">
        <w:rPr>
          <w:b/>
          <w:bCs/>
        </w:rPr>
        <w:t>Engagement strategy</w:t>
      </w:r>
    </w:p>
    <w:p w14:paraId="18639CE6" w14:textId="4893961B" w:rsidR="004F43F2" w:rsidRDefault="004F43F2" w:rsidP="004F43F2">
      <w:pPr>
        <w:rPr>
          <w:sz w:val="20"/>
          <w:szCs w:val="20"/>
        </w:rPr>
      </w:pPr>
      <w:r w:rsidRPr="00C97BF2">
        <w:rPr>
          <w:sz w:val="20"/>
          <w:szCs w:val="20"/>
        </w:rPr>
        <w:t xml:space="preserve">The holdings of the </w:t>
      </w:r>
      <w:r w:rsidR="00BA05D4">
        <w:rPr>
          <w:sz w:val="20"/>
          <w:szCs w:val="20"/>
        </w:rPr>
        <w:t>Sub-Fund</w:t>
      </w:r>
      <w:r w:rsidRPr="00C97BF2">
        <w:rPr>
          <w:sz w:val="20"/>
          <w:szCs w:val="20"/>
        </w:rPr>
        <w:t xml:space="preserve"> are subject to the selection process of </w:t>
      </w:r>
      <w:proofErr w:type="spellStart"/>
      <w:r w:rsidRPr="00C97BF2">
        <w:rPr>
          <w:sz w:val="20"/>
          <w:szCs w:val="20"/>
        </w:rPr>
        <w:t>Robeco’s</w:t>
      </w:r>
      <w:proofErr w:type="spellEnd"/>
      <w:r w:rsidRPr="00C97BF2">
        <w:rPr>
          <w:sz w:val="20"/>
          <w:szCs w:val="20"/>
        </w:rPr>
        <w:t xml:space="preserve"> value engagement program, that consists of a constructive dialogue between investors and investee companies to discuss how they manage ESG risks and opportunities, as well as stakeholder impact. Although this type of engagement is not directly related to the environmental or social investment strategy of the </w:t>
      </w:r>
      <w:r w:rsidR="00BA05D4">
        <w:rPr>
          <w:sz w:val="20"/>
          <w:szCs w:val="20"/>
        </w:rPr>
        <w:t>Sub-Fund</w:t>
      </w:r>
      <w:r w:rsidRPr="00C97BF2">
        <w:rPr>
          <w:sz w:val="20"/>
          <w:szCs w:val="20"/>
        </w:rPr>
        <w:t xml:space="preserve">, it can be that adverse sustainability impacts are addressed via the value engagement program. </w:t>
      </w:r>
    </w:p>
    <w:p w14:paraId="6FA7EE08" w14:textId="77777777" w:rsidR="004F43F2" w:rsidRPr="003E397D" w:rsidRDefault="004F43F2" w:rsidP="003E397D"/>
    <w:p w14:paraId="26CD877C" w14:textId="2796EA13" w:rsidR="00D55282" w:rsidRDefault="00D55282" w:rsidP="006A64EF"/>
    <w:sectPr w:rsidR="00D552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603F" w14:textId="77777777" w:rsidR="001017BF" w:rsidRDefault="001017BF" w:rsidP="001017BF">
      <w:pPr>
        <w:spacing w:after="0" w:line="240" w:lineRule="auto"/>
      </w:pPr>
      <w:r>
        <w:separator/>
      </w:r>
    </w:p>
  </w:endnote>
  <w:endnote w:type="continuationSeparator" w:id="0">
    <w:p w14:paraId="50B5B16F" w14:textId="77777777" w:rsidR="001017BF" w:rsidRDefault="001017BF" w:rsidP="0010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DC79" w14:textId="77777777" w:rsidR="001017BF" w:rsidRDefault="001017BF" w:rsidP="001017BF">
      <w:pPr>
        <w:spacing w:after="0" w:line="240" w:lineRule="auto"/>
      </w:pPr>
      <w:r>
        <w:separator/>
      </w:r>
    </w:p>
  </w:footnote>
  <w:footnote w:type="continuationSeparator" w:id="0">
    <w:p w14:paraId="7A23EB5B" w14:textId="77777777" w:rsidR="001017BF" w:rsidRDefault="001017BF" w:rsidP="0010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8977" w14:textId="0378385E" w:rsidR="001017BF" w:rsidRDefault="001017BF" w:rsidP="001017BF">
    <w:pPr>
      <w:pStyle w:val="Header"/>
      <w:ind w:left="2687" w:firstLine="4513"/>
    </w:pPr>
    <w:r>
      <w:rPr>
        <w:noProof/>
      </w:rPr>
      <w:drawing>
        <wp:inline distT="0" distB="0" distL="0" distR="0" wp14:anchorId="2616F697" wp14:editId="59FEBBD9">
          <wp:extent cx="1524000" cy="58437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523" cy="591093"/>
                  </a:xfrm>
                  <a:prstGeom prst="rect">
                    <a:avLst/>
                  </a:prstGeom>
                  <a:noFill/>
                  <a:ln>
                    <a:noFill/>
                  </a:ln>
                </pic:spPr>
              </pic:pic>
            </a:graphicData>
          </a:graphic>
        </wp:inline>
      </w:drawing>
    </w:r>
  </w:p>
  <w:p w14:paraId="657EC196" w14:textId="77777777" w:rsidR="001017BF" w:rsidRDefault="00101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B84"/>
    <w:multiLevelType w:val="hybridMultilevel"/>
    <w:tmpl w:val="067AD0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D7966A4"/>
    <w:multiLevelType w:val="hybridMultilevel"/>
    <w:tmpl w:val="64942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A2C2C"/>
    <w:multiLevelType w:val="hybridMultilevel"/>
    <w:tmpl w:val="88FA7F6C"/>
    <w:lvl w:ilvl="0" w:tplc="16AAE50E">
      <w:start w:val="1"/>
      <w:numFmt w:val="bullet"/>
      <w:lvlText w:val="o"/>
      <w:lvlJc w:val="left"/>
      <w:pPr>
        <w:ind w:left="720" w:hanging="360"/>
      </w:pPr>
      <w:rPr>
        <w:rFonts w:ascii="Courier New" w:hAnsi="Courier New" w:cs="Courier New" w:hint="default"/>
      </w:rPr>
    </w:lvl>
    <w:lvl w:ilvl="1" w:tplc="C7A6E0D0" w:tentative="1">
      <w:start w:val="1"/>
      <w:numFmt w:val="bullet"/>
      <w:lvlText w:val="o"/>
      <w:lvlJc w:val="left"/>
      <w:pPr>
        <w:ind w:left="1440" w:hanging="360"/>
      </w:pPr>
      <w:rPr>
        <w:rFonts w:ascii="Courier New" w:hAnsi="Courier New" w:cs="Courier New" w:hint="default"/>
      </w:rPr>
    </w:lvl>
    <w:lvl w:ilvl="2" w:tplc="21F6304E" w:tentative="1">
      <w:start w:val="1"/>
      <w:numFmt w:val="bullet"/>
      <w:lvlText w:val=""/>
      <w:lvlJc w:val="left"/>
      <w:pPr>
        <w:ind w:left="2160" w:hanging="360"/>
      </w:pPr>
      <w:rPr>
        <w:rFonts w:ascii="Wingdings" w:hAnsi="Wingdings" w:hint="default"/>
      </w:rPr>
    </w:lvl>
    <w:lvl w:ilvl="3" w:tplc="756E5840" w:tentative="1">
      <w:start w:val="1"/>
      <w:numFmt w:val="bullet"/>
      <w:lvlText w:val=""/>
      <w:lvlJc w:val="left"/>
      <w:pPr>
        <w:ind w:left="2880" w:hanging="360"/>
      </w:pPr>
      <w:rPr>
        <w:rFonts w:ascii="Symbol" w:hAnsi="Symbol" w:hint="default"/>
      </w:rPr>
    </w:lvl>
    <w:lvl w:ilvl="4" w:tplc="E2567DFE" w:tentative="1">
      <w:start w:val="1"/>
      <w:numFmt w:val="bullet"/>
      <w:lvlText w:val="o"/>
      <w:lvlJc w:val="left"/>
      <w:pPr>
        <w:ind w:left="3600" w:hanging="360"/>
      </w:pPr>
      <w:rPr>
        <w:rFonts w:ascii="Courier New" w:hAnsi="Courier New" w:cs="Courier New" w:hint="default"/>
      </w:rPr>
    </w:lvl>
    <w:lvl w:ilvl="5" w:tplc="F1CCDA34" w:tentative="1">
      <w:start w:val="1"/>
      <w:numFmt w:val="bullet"/>
      <w:lvlText w:val=""/>
      <w:lvlJc w:val="left"/>
      <w:pPr>
        <w:ind w:left="4320" w:hanging="360"/>
      </w:pPr>
      <w:rPr>
        <w:rFonts w:ascii="Wingdings" w:hAnsi="Wingdings" w:hint="default"/>
      </w:rPr>
    </w:lvl>
    <w:lvl w:ilvl="6" w:tplc="8FBA7E5A" w:tentative="1">
      <w:start w:val="1"/>
      <w:numFmt w:val="bullet"/>
      <w:lvlText w:val=""/>
      <w:lvlJc w:val="left"/>
      <w:pPr>
        <w:ind w:left="5040" w:hanging="360"/>
      </w:pPr>
      <w:rPr>
        <w:rFonts w:ascii="Symbol" w:hAnsi="Symbol" w:hint="default"/>
      </w:rPr>
    </w:lvl>
    <w:lvl w:ilvl="7" w:tplc="BDF28DA2" w:tentative="1">
      <w:start w:val="1"/>
      <w:numFmt w:val="bullet"/>
      <w:lvlText w:val="o"/>
      <w:lvlJc w:val="left"/>
      <w:pPr>
        <w:ind w:left="5760" w:hanging="360"/>
      </w:pPr>
      <w:rPr>
        <w:rFonts w:ascii="Courier New" w:hAnsi="Courier New" w:cs="Courier New" w:hint="default"/>
      </w:rPr>
    </w:lvl>
    <w:lvl w:ilvl="8" w:tplc="06E03952" w:tentative="1">
      <w:start w:val="1"/>
      <w:numFmt w:val="bullet"/>
      <w:lvlText w:val=""/>
      <w:lvlJc w:val="left"/>
      <w:pPr>
        <w:ind w:left="6480" w:hanging="360"/>
      </w:pPr>
      <w:rPr>
        <w:rFonts w:ascii="Wingdings" w:hAnsi="Wingdings" w:hint="default"/>
      </w:rPr>
    </w:lvl>
  </w:abstractNum>
  <w:abstractNum w:abstractNumId="3" w15:restartNumberingAfterBreak="0">
    <w:nsid w:val="479727F8"/>
    <w:multiLevelType w:val="hybridMultilevel"/>
    <w:tmpl w:val="AB987D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2110F7E"/>
    <w:multiLevelType w:val="hybridMultilevel"/>
    <w:tmpl w:val="79566D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F290478"/>
    <w:multiLevelType w:val="hybridMultilevel"/>
    <w:tmpl w:val="F0A6907C"/>
    <w:lvl w:ilvl="0" w:tplc="D00A884E">
      <w:start w:val="9"/>
      <w:numFmt w:val="bullet"/>
      <w:lvlText w:val="-"/>
      <w:lvlJc w:val="left"/>
      <w:pPr>
        <w:ind w:left="720" w:hanging="360"/>
      </w:pPr>
      <w:rPr>
        <w:rFonts w:ascii="Calibri" w:eastAsiaTheme="minorHAnsi" w:hAnsi="Calibri" w:cs="Calibri" w:hint="default"/>
      </w:rPr>
    </w:lvl>
    <w:lvl w:ilvl="1" w:tplc="97FAE7FE" w:tentative="1">
      <w:start w:val="1"/>
      <w:numFmt w:val="bullet"/>
      <w:lvlText w:val="o"/>
      <w:lvlJc w:val="left"/>
      <w:pPr>
        <w:ind w:left="1440" w:hanging="360"/>
      </w:pPr>
      <w:rPr>
        <w:rFonts w:ascii="Courier New" w:hAnsi="Courier New" w:cs="Courier New" w:hint="default"/>
      </w:rPr>
    </w:lvl>
    <w:lvl w:ilvl="2" w:tplc="BA223E32" w:tentative="1">
      <w:start w:val="1"/>
      <w:numFmt w:val="bullet"/>
      <w:lvlText w:val=""/>
      <w:lvlJc w:val="left"/>
      <w:pPr>
        <w:ind w:left="2160" w:hanging="360"/>
      </w:pPr>
      <w:rPr>
        <w:rFonts w:ascii="Wingdings" w:hAnsi="Wingdings" w:hint="default"/>
      </w:rPr>
    </w:lvl>
    <w:lvl w:ilvl="3" w:tplc="7A046B46" w:tentative="1">
      <w:start w:val="1"/>
      <w:numFmt w:val="bullet"/>
      <w:lvlText w:val=""/>
      <w:lvlJc w:val="left"/>
      <w:pPr>
        <w:ind w:left="2880" w:hanging="360"/>
      </w:pPr>
      <w:rPr>
        <w:rFonts w:ascii="Symbol" w:hAnsi="Symbol" w:hint="default"/>
      </w:rPr>
    </w:lvl>
    <w:lvl w:ilvl="4" w:tplc="B5A4DD9E" w:tentative="1">
      <w:start w:val="1"/>
      <w:numFmt w:val="bullet"/>
      <w:lvlText w:val="o"/>
      <w:lvlJc w:val="left"/>
      <w:pPr>
        <w:ind w:left="3600" w:hanging="360"/>
      </w:pPr>
      <w:rPr>
        <w:rFonts w:ascii="Courier New" w:hAnsi="Courier New" w:cs="Courier New" w:hint="default"/>
      </w:rPr>
    </w:lvl>
    <w:lvl w:ilvl="5" w:tplc="9F808FE6" w:tentative="1">
      <w:start w:val="1"/>
      <w:numFmt w:val="bullet"/>
      <w:lvlText w:val=""/>
      <w:lvlJc w:val="left"/>
      <w:pPr>
        <w:ind w:left="4320" w:hanging="360"/>
      </w:pPr>
      <w:rPr>
        <w:rFonts w:ascii="Wingdings" w:hAnsi="Wingdings" w:hint="default"/>
      </w:rPr>
    </w:lvl>
    <w:lvl w:ilvl="6" w:tplc="D982E9C8" w:tentative="1">
      <w:start w:val="1"/>
      <w:numFmt w:val="bullet"/>
      <w:lvlText w:val=""/>
      <w:lvlJc w:val="left"/>
      <w:pPr>
        <w:ind w:left="5040" w:hanging="360"/>
      </w:pPr>
      <w:rPr>
        <w:rFonts w:ascii="Symbol" w:hAnsi="Symbol" w:hint="default"/>
      </w:rPr>
    </w:lvl>
    <w:lvl w:ilvl="7" w:tplc="1B4EF55A" w:tentative="1">
      <w:start w:val="1"/>
      <w:numFmt w:val="bullet"/>
      <w:lvlText w:val="o"/>
      <w:lvlJc w:val="left"/>
      <w:pPr>
        <w:ind w:left="5760" w:hanging="360"/>
      </w:pPr>
      <w:rPr>
        <w:rFonts w:ascii="Courier New" w:hAnsi="Courier New" w:cs="Courier New" w:hint="default"/>
      </w:rPr>
    </w:lvl>
    <w:lvl w:ilvl="8" w:tplc="3AD45692" w:tentative="1">
      <w:start w:val="1"/>
      <w:numFmt w:val="bullet"/>
      <w:lvlText w:val=""/>
      <w:lvlJc w:val="left"/>
      <w:pPr>
        <w:ind w:left="6480" w:hanging="360"/>
      </w:pPr>
      <w:rPr>
        <w:rFonts w:ascii="Wingdings" w:hAnsi="Wingdings" w:hint="default"/>
      </w:rPr>
    </w:lvl>
  </w:abstractNum>
  <w:abstractNum w:abstractNumId="6" w15:restartNumberingAfterBreak="0">
    <w:nsid w:val="61C32FE2"/>
    <w:multiLevelType w:val="hybridMultilevel"/>
    <w:tmpl w:val="5666E6E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C214782"/>
    <w:multiLevelType w:val="hybridMultilevel"/>
    <w:tmpl w:val="F518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978459">
    <w:abstractNumId w:val="5"/>
  </w:num>
  <w:num w:numId="2" w16cid:durableId="1740589037">
    <w:abstractNumId w:val="2"/>
  </w:num>
  <w:num w:numId="3" w16cid:durableId="1502700988">
    <w:abstractNumId w:val="6"/>
  </w:num>
  <w:num w:numId="4" w16cid:durableId="2060281847">
    <w:abstractNumId w:val="4"/>
  </w:num>
  <w:num w:numId="5" w16cid:durableId="243609484">
    <w:abstractNumId w:val="3"/>
  </w:num>
  <w:num w:numId="6" w16cid:durableId="121845069">
    <w:abstractNumId w:val="0"/>
  </w:num>
  <w:num w:numId="7" w16cid:durableId="9915796">
    <w:abstractNumId w:val="7"/>
  </w:num>
  <w:num w:numId="8" w16cid:durableId="1398019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1B"/>
    <w:rsid w:val="001017BF"/>
    <w:rsid w:val="00332D0D"/>
    <w:rsid w:val="003E397D"/>
    <w:rsid w:val="004B1047"/>
    <w:rsid w:val="004C4459"/>
    <w:rsid w:val="004F43F2"/>
    <w:rsid w:val="00511C6E"/>
    <w:rsid w:val="005F2A4B"/>
    <w:rsid w:val="006A64EF"/>
    <w:rsid w:val="00753C3E"/>
    <w:rsid w:val="008F38D5"/>
    <w:rsid w:val="009536FA"/>
    <w:rsid w:val="009F7A82"/>
    <w:rsid w:val="00A62167"/>
    <w:rsid w:val="00BA05D4"/>
    <w:rsid w:val="00C97BF2"/>
    <w:rsid w:val="00D55282"/>
    <w:rsid w:val="00E219FA"/>
    <w:rsid w:val="00FE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2017"/>
  <w15:chartTrackingRefBased/>
  <w15:docId w15:val="{AFAD3F99-C855-474E-91BC-4956D537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167"/>
    <w:rPr>
      <w:color w:val="0563C1" w:themeColor="hyperlink"/>
      <w:u w:val="single"/>
    </w:rPr>
  </w:style>
  <w:style w:type="character" w:styleId="UnresolvedMention">
    <w:name w:val="Unresolved Mention"/>
    <w:basedOn w:val="DefaultParagraphFont"/>
    <w:uiPriority w:val="99"/>
    <w:semiHidden/>
    <w:unhideWhenUsed/>
    <w:rsid w:val="00A62167"/>
    <w:rPr>
      <w:color w:val="605E5C"/>
      <w:shd w:val="clear" w:color="auto" w:fill="E1DFDD"/>
    </w:rPr>
  </w:style>
  <w:style w:type="paragraph" w:styleId="ListParagraph">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ParagraphChar"/>
    <w:uiPriority w:val="34"/>
    <w:qFormat/>
    <w:rsid w:val="004C4459"/>
    <w:pPr>
      <w:spacing w:after="0" w:line="240" w:lineRule="auto"/>
      <w:ind w:left="720"/>
      <w:contextualSpacing/>
      <w:jc w:val="both"/>
    </w:pPr>
    <w:rPr>
      <w:rFonts w:ascii="Arial" w:eastAsia="SimSun" w:hAnsi="Arial" w:cs="Times New Roman"/>
      <w:lang w:eastAsia="zh-CN"/>
    </w:rPr>
  </w:style>
  <w:style w:type="character" w:customStyle="1" w:styleId="ListParagraphChar">
    <w:name w:val="List Paragraph Char"/>
    <w:aliases w:val="Paragraphe EI Char,Paragraphe de liste1 Char,EC Char,Normal bullet 2 Char,Bullet list Char,List Paragraph1 Char,Numbered List Char,1st level - Bullet List Paragraph Char,Lettre d'introduction Char,Paragrafo elenco Char,Dot pt Char"/>
    <w:basedOn w:val="DefaultParagraphFont"/>
    <w:link w:val="ListParagraph"/>
    <w:uiPriority w:val="34"/>
    <w:qFormat/>
    <w:locked/>
    <w:rsid w:val="004C4459"/>
    <w:rPr>
      <w:rFonts w:ascii="Arial" w:eastAsia="SimSun" w:hAnsi="Arial" w:cs="Times New Roman"/>
      <w:lang w:eastAsia="zh-CN"/>
    </w:rPr>
  </w:style>
  <w:style w:type="paragraph" w:customStyle="1" w:styleId="ssPara1">
    <w:name w:val="ssPara1"/>
    <w:basedOn w:val="Normal"/>
    <w:link w:val="ssPara1Char"/>
    <w:rsid w:val="00753C3E"/>
    <w:pPr>
      <w:spacing w:after="260" w:line="240" w:lineRule="auto"/>
      <w:jc w:val="both"/>
    </w:pPr>
    <w:rPr>
      <w:rFonts w:ascii="Arial" w:eastAsia="SimSun" w:hAnsi="Arial" w:cs="Times New Roman"/>
      <w:lang w:eastAsia="zh-CN"/>
    </w:rPr>
  </w:style>
  <w:style w:type="character" w:customStyle="1" w:styleId="ssPara1Char">
    <w:name w:val="ssPara1 Char"/>
    <w:basedOn w:val="DefaultParagraphFont"/>
    <w:link w:val="ssPara1"/>
    <w:rsid w:val="00753C3E"/>
    <w:rPr>
      <w:rFonts w:ascii="Arial" w:eastAsia="SimSun" w:hAnsi="Arial" w:cs="Times New Roman"/>
      <w:lang w:eastAsia="zh-CN"/>
    </w:rPr>
  </w:style>
  <w:style w:type="paragraph" w:styleId="Header">
    <w:name w:val="header"/>
    <w:basedOn w:val="Normal"/>
    <w:link w:val="HeaderChar"/>
    <w:uiPriority w:val="99"/>
    <w:unhideWhenUsed/>
    <w:rsid w:val="00101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7BF"/>
  </w:style>
  <w:style w:type="paragraph" w:styleId="Footer">
    <w:name w:val="footer"/>
    <w:basedOn w:val="Normal"/>
    <w:link w:val="FooterChar"/>
    <w:uiPriority w:val="99"/>
    <w:unhideWhenUsed/>
    <w:rsid w:val="00101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MomentumMetropolitan</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Power</dc:creator>
  <cp:keywords/>
  <dc:description/>
  <cp:lastModifiedBy>Roxanne Power</cp:lastModifiedBy>
  <cp:revision>4</cp:revision>
  <dcterms:created xsi:type="dcterms:W3CDTF">2023-01-12T10:57:00Z</dcterms:created>
  <dcterms:modified xsi:type="dcterms:W3CDTF">2023-01-12T12:40:00Z</dcterms:modified>
</cp:coreProperties>
</file>