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324" w14:textId="433A2DC3" w:rsidR="004F43F2" w:rsidRPr="004F43F2" w:rsidRDefault="004F43F2" w:rsidP="004F43F2">
      <w:pPr>
        <w:jc w:val="center"/>
        <w:rPr>
          <w:sz w:val="18"/>
          <w:szCs w:val="18"/>
        </w:rPr>
      </w:pPr>
      <w:r w:rsidRPr="004F43F2">
        <w:rPr>
          <w:sz w:val="18"/>
          <w:szCs w:val="18"/>
        </w:rPr>
        <w:t xml:space="preserve">This document provides you with information about this </w:t>
      </w:r>
      <w:r w:rsidR="00ED124D">
        <w:rPr>
          <w:sz w:val="18"/>
          <w:szCs w:val="18"/>
        </w:rPr>
        <w:t>Sub-Fund</w:t>
      </w:r>
      <w:r w:rsidRPr="004F43F2">
        <w:rPr>
          <w:sz w:val="18"/>
          <w:szCs w:val="18"/>
        </w:rPr>
        <w:t xml:space="preserve"> in relation to the Sustainable Finance Disclosure Regulation. It is not marketing material. The information is required by law to help you understand the sustainability characteristics and/or objectives and risks of this </w:t>
      </w:r>
      <w:r w:rsidR="00ED124D">
        <w:rPr>
          <w:sz w:val="18"/>
          <w:szCs w:val="18"/>
        </w:rPr>
        <w:t>Sub-Fund</w:t>
      </w:r>
      <w:r w:rsidRPr="004F43F2">
        <w:rPr>
          <w:sz w:val="18"/>
          <w:szCs w:val="18"/>
        </w:rPr>
        <w:t xml:space="preserve">. You are advised to read it in conjunction with other relevant documentation on this </w:t>
      </w:r>
      <w:r w:rsidR="00ED124D">
        <w:rPr>
          <w:sz w:val="18"/>
          <w:szCs w:val="18"/>
        </w:rPr>
        <w:t>Sub-Fund</w:t>
      </w:r>
      <w:r w:rsidRPr="004F43F2">
        <w:rPr>
          <w:sz w:val="18"/>
          <w:szCs w:val="18"/>
        </w:rPr>
        <w:t xml:space="preserve"> so you can make an informed decision about whether to invest.</w:t>
      </w:r>
    </w:p>
    <w:p w14:paraId="304FC4E7" w14:textId="2E742699" w:rsidR="005F2A4B" w:rsidRPr="00C97BF2" w:rsidRDefault="001017BF" w:rsidP="005F2A4B">
      <w:pPr>
        <w:jc w:val="center"/>
        <w:rPr>
          <w:b/>
          <w:bCs/>
          <w:color w:val="C00000"/>
          <w:sz w:val="32"/>
          <w:szCs w:val="32"/>
        </w:rPr>
      </w:pPr>
      <w:r>
        <w:rPr>
          <w:b/>
          <w:bCs/>
          <w:color w:val="C00000"/>
          <w:sz w:val="32"/>
          <w:szCs w:val="32"/>
        </w:rPr>
        <w:t xml:space="preserve">Summary </w:t>
      </w:r>
      <w:r w:rsidR="00FE701B" w:rsidRPr="00C97BF2">
        <w:rPr>
          <w:b/>
          <w:bCs/>
          <w:color w:val="C00000"/>
          <w:sz w:val="32"/>
          <w:szCs w:val="32"/>
        </w:rPr>
        <w:t>Sustainability-</w:t>
      </w:r>
      <w:r>
        <w:rPr>
          <w:b/>
          <w:bCs/>
          <w:color w:val="C00000"/>
          <w:sz w:val="32"/>
          <w:szCs w:val="32"/>
        </w:rPr>
        <w:t>R</w:t>
      </w:r>
      <w:r w:rsidR="00FE701B" w:rsidRPr="00C97BF2">
        <w:rPr>
          <w:b/>
          <w:bCs/>
          <w:color w:val="C00000"/>
          <w:sz w:val="32"/>
          <w:szCs w:val="32"/>
        </w:rPr>
        <w:t xml:space="preserve">elated </w:t>
      </w:r>
      <w:r>
        <w:rPr>
          <w:b/>
          <w:bCs/>
          <w:color w:val="C00000"/>
          <w:sz w:val="32"/>
          <w:szCs w:val="32"/>
        </w:rPr>
        <w:t>D</w:t>
      </w:r>
      <w:r w:rsidR="00FE701B" w:rsidRPr="00C97BF2">
        <w:rPr>
          <w:b/>
          <w:bCs/>
          <w:color w:val="C00000"/>
          <w:sz w:val="32"/>
          <w:szCs w:val="32"/>
        </w:rPr>
        <w:t>isclosure</w:t>
      </w:r>
    </w:p>
    <w:p w14:paraId="1A01AD68" w14:textId="77777777" w:rsidR="00BE7B0D" w:rsidRPr="00C97BF2" w:rsidRDefault="00BE7B0D" w:rsidP="00BE7B0D">
      <w:pPr>
        <w:jc w:val="center"/>
        <w:rPr>
          <w:b/>
          <w:bCs/>
          <w:sz w:val="32"/>
          <w:szCs w:val="32"/>
        </w:rPr>
      </w:pPr>
      <w:r>
        <w:rPr>
          <w:b/>
          <w:bCs/>
          <w:sz w:val="32"/>
          <w:szCs w:val="32"/>
        </w:rPr>
        <w:t>Harmony Portfolios</w:t>
      </w:r>
      <w:r w:rsidRPr="00C97BF2">
        <w:rPr>
          <w:b/>
          <w:bCs/>
          <w:sz w:val="32"/>
          <w:szCs w:val="32"/>
        </w:rPr>
        <w:t xml:space="preserve"> Sustainable </w:t>
      </w:r>
      <w:r>
        <w:rPr>
          <w:b/>
          <w:bCs/>
          <w:sz w:val="32"/>
          <w:szCs w:val="32"/>
        </w:rPr>
        <w:t>Growth</w:t>
      </w:r>
      <w:r w:rsidRPr="00C97BF2">
        <w:rPr>
          <w:b/>
          <w:bCs/>
          <w:sz w:val="32"/>
          <w:szCs w:val="32"/>
        </w:rPr>
        <w:t xml:space="preserve"> Fund</w:t>
      </w:r>
    </w:p>
    <w:p w14:paraId="69231063" w14:textId="2A32FF3C" w:rsidR="008F38D5" w:rsidRDefault="008F38D5" w:rsidP="008F38D5">
      <w:pPr>
        <w:rPr>
          <w:rFonts w:cstheme="minorHAnsi"/>
          <w:i/>
          <w:iCs/>
          <w:color w:val="000000"/>
          <w:sz w:val="20"/>
          <w:szCs w:val="20"/>
        </w:rPr>
      </w:pPr>
      <w:r w:rsidRPr="008F38D5">
        <w:rPr>
          <w:rFonts w:cstheme="minorHAnsi"/>
          <w:i/>
          <w:iCs/>
          <w:sz w:val="20"/>
          <w:szCs w:val="20"/>
        </w:rPr>
        <w:t xml:space="preserve">This financial product promotes environmental or social </w:t>
      </w:r>
      <w:r w:rsidR="00EC1EB0" w:rsidRPr="008F38D5">
        <w:rPr>
          <w:rFonts w:cstheme="minorHAnsi"/>
          <w:i/>
          <w:iCs/>
          <w:sz w:val="20"/>
          <w:szCs w:val="20"/>
        </w:rPr>
        <w:t>characteristics but</w:t>
      </w:r>
      <w:r w:rsidRPr="008F38D5">
        <w:rPr>
          <w:rFonts w:cstheme="minorHAnsi"/>
          <w:i/>
          <w:iCs/>
          <w:sz w:val="20"/>
          <w:szCs w:val="20"/>
        </w:rPr>
        <w:t xml:space="preserve"> does not have as its objective sustainable investment. </w:t>
      </w:r>
      <w:r w:rsidRPr="008F38D5">
        <w:rPr>
          <w:rFonts w:cstheme="minorHAnsi"/>
          <w:i/>
          <w:iCs/>
          <w:color w:val="000000"/>
          <w:sz w:val="20"/>
          <w:szCs w:val="20"/>
        </w:rPr>
        <w:t xml:space="preserve"> </w:t>
      </w:r>
    </w:p>
    <w:p w14:paraId="1D0FBB93" w14:textId="089711A7" w:rsidR="008F38D5" w:rsidRPr="003E397D" w:rsidRDefault="003E397D" w:rsidP="008F38D5">
      <w:pPr>
        <w:rPr>
          <w:b/>
          <w:bCs/>
          <w:i/>
          <w:iCs/>
        </w:rPr>
      </w:pPr>
      <w:r w:rsidRPr="003E397D">
        <w:rPr>
          <w:b/>
          <w:bCs/>
        </w:rPr>
        <w:t xml:space="preserve">The </w:t>
      </w:r>
      <w:r w:rsidR="00ED124D">
        <w:rPr>
          <w:b/>
          <w:bCs/>
        </w:rPr>
        <w:t>Sub-Fund</w:t>
      </w:r>
      <w:r w:rsidRPr="003E397D">
        <w:rPr>
          <w:b/>
          <w:bCs/>
        </w:rPr>
        <w:t xml:space="preserve"> has the following E/S characteristics:</w:t>
      </w:r>
    </w:p>
    <w:p w14:paraId="692516F7" w14:textId="77777777" w:rsidR="00BE7B0D" w:rsidRPr="00FF7AEB" w:rsidRDefault="00BE7B0D" w:rsidP="00BE7B0D">
      <w:pPr>
        <w:pStyle w:val="ListParagraph"/>
        <w:numPr>
          <w:ilvl w:val="0"/>
          <w:numId w:val="9"/>
        </w:numPr>
        <w:spacing w:before="120" w:after="120"/>
        <w:ind w:left="357" w:hanging="357"/>
        <w:contextualSpacing w:val="0"/>
        <w:rPr>
          <w:rFonts w:asciiTheme="minorHAnsi" w:hAnsiTheme="minorHAnsi" w:cstheme="minorHAnsi"/>
          <w:bCs/>
          <w:sz w:val="20"/>
          <w:szCs w:val="20"/>
          <w:lang w:eastAsia="nl-NL"/>
        </w:rPr>
      </w:pPr>
      <w:r w:rsidRPr="00FF7AEB">
        <w:rPr>
          <w:rFonts w:asciiTheme="minorHAnsi" w:hAnsiTheme="minorHAnsi" w:cstheme="minorHAnsi"/>
          <w:bCs/>
          <w:sz w:val="20"/>
          <w:szCs w:val="20"/>
          <w:lang w:eastAsia="nl-NL"/>
        </w:rPr>
        <w:t>The Sub-Fund promotes certain minimum environmental and social safeguards through applying exclusion criteria with regards to products and business practices that the Sub-Fund believes are detrimental to society and incompatible with sustainable investment strategies.</w:t>
      </w:r>
    </w:p>
    <w:p w14:paraId="00DA2659" w14:textId="314B5329" w:rsidR="00BE7B0D" w:rsidRDefault="00BE7B0D" w:rsidP="00BE7B0D">
      <w:pPr>
        <w:pStyle w:val="ListParagraph"/>
        <w:numPr>
          <w:ilvl w:val="0"/>
          <w:numId w:val="9"/>
        </w:numPr>
        <w:spacing w:before="120" w:after="120"/>
        <w:ind w:left="357" w:hanging="357"/>
        <w:contextualSpacing w:val="0"/>
        <w:rPr>
          <w:rFonts w:asciiTheme="minorHAnsi" w:hAnsiTheme="minorHAnsi" w:cstheme="minorHAnsi"/>
          <w:sz w:val="20"/>
          <w:szCs w:val="20"/>
        </w:rPr>
      </w:pPr>
      <w:r w:rsidRPr="00FF7AEB">
        <w:rPr>
          <w:rFonts w:asciiTheme="minorHAnsi" w:hAnsiTheme="minorHAnsi" w:cstheme="minorHAnsi"/>
          <w:sz w:val="20"/>
          <w:szCs w:val="20"/>
        </w:rPr>
        <w:t>The Sub-Fund intends to be guided by the UNPRI in determining actions and behaviours that are consistent with an integrated ESG (</w:t>
      </w:r>
      <w:r w:rsidR="00EC1EB0" w:rsidRPr="00FF7AEB">
        <w:rPr>
          <w:rFonts w:asciiTheme="minorHAnsi" w:hAnsiTheme="minorHAnsi" w:cstheme="minorHAnsi"/>
          <w:sz w:val="20"/>
          <w:szCs w:val="20"/>
        </w:rPr>
        <w:t>i.e.,</w:t>
      </w:r>
      <w:r w:rsidRPr="00FF7AEB">
        <w:rPr>
          <w:rFonts w:asciiTheme="minorHAnsi" w:hAnsiTheme="minorHAnsi" w:cstheme="minorHAnsi"/>
          <w:sz w:val="20"/>
          <w:szCs w:val="20"/>
        </w:rPr>
        <w:t xml:space="preserve"> Environmental, Social and corporate Governance) approach, whilst supplementing that with research and suggestions from industry level bodies. The Sub-Fund recognises the Sustainable Development Goals (SDGs) and their many underlying targets as providing a more specific guide to the actions and behaviours where the issuers of underlying investments in the Sub-Fund are expected to be making positive contributions. </w:t>
      </w:r>
    </w:p>
    <w:p w14:paraId="13EBA917" w14:textId="4D9B37DE" w:rsidR="00BE7B0D" w:rsidRPr="00BE7B0D" w:rsidRDefault="00BE7B0D" w:rsidP="00BE7B0D">
      <w:pPr>
        <w:pStyle w:val="ListParagraph"/>
        <w:numPr>
          <w:ilvl w:val="0"/>
          <w:numId w:val="9"/>
        </w:numPr>
        <w:spacing w:before="120" w:after="120"/>
        <w:ind w:left="357" w:hanging="357"/>
        <w:contextualSpacing w:val="0"/>
        <w:rPr>
          <w:rFonts w:asciiTheme="minorHAnsi" w:hAnsiTheme="minorHAnsi" w:cstheme="minorHAnsi"/>
          <w:sz w:val="20"/>
          <w:szCs w:val="20"/>
        </w:rPr>
      </w:pPr>
      <w:r w:rsidRPr="00BE7B0D">
        <w:rPr>
          <w:rFonts w:asciiTheme="minorHAnsi" w:hAnsiTheme="minorHAnsi" w:cstheme="minorHAnsi"/>
          <w:sz w:val="20"/>
          <w:szCs w:val="20"/>
        </w:rPr>
        <w:t xml:space="preserve">The Sub-Fund aims for a better sustainability profile compared to relevant broad market indices (which vary by asset class) for </w:t>
      </w:r>
      <w:r w:rsidR="00EC1EB0" w:rsidRPr="00BE7B0D">
        <w:rPr>
          <w:rFonts w:asciiTheme="minorHAnsi" w:hAnsiTheme="minorHAnsi" w:cstheme="minorHAnsi"/>
          <w:sz w:val="20"/>
          <w:szCs w:val="20"/>
        </w:rPr>
        <w:t>most</w:t>
      </w:r>
      <w:r w:rsidRPr="00BE7B0D">
        <w:rPr>
          <w:rFonts w:asciiTheme="minorHAnsi" w:hAnsiTheme="minorHAnsi" w:cstheme="minorHAnsi"/>
          <w:sz w:val="20"/>
          <w:szCs w:val="20"/>
        </w:rPr>
        <w:t xml:space="preserve"> asset class exposures by integrating ESG factors. For the assessment, areas like corporate strategy, corporate governance, transparency as well as the product and service range of a company are </w:t>
      </w:r>
      <w:r w:rsidR="00EC1EB0" w:rsidRPr="00BE7B0D">
        <w:rPr>
          <w:rFonts w:asciiTheme="minorHAnsi" w:hAnsiTheme="minorHAnsi" w:cstheme="minorHAnsi"/>
          <w:sz w:val="20"/>
          <w:szCs w:val="20"/>
        </w:rPr>
        <w:t>considered</w:t>
      </w:r>
      <w:r w:rsidRPr="00BE7B0D">
        <w:rPr>
          <w:rFonts w:asciiTheme="minorHAnsi" w:hAnsiTheme="minorHAnsi" w:cstheme="minorHAnsi"/>
          <w:sz w:val="20"/>
          <w:szCs w:val="20"/>
        </w:rPr>
        <w:t>.</w:t>
      </w:r>
    </w:p>
    <w:p w14:paraId="49F00D81" w14:textId="2D0AD720" w:rsidR="003E397D" w:rsidRPr="003E397D" w:rsidRDefault="003E397D" w:rsidP="00BE7B0D">
      <w:pPr>
        <w:rPr>
          <w:b/>
          <w:bCs/>
        </w:rPr>
      </w:pPr>
      <w:r w:rsidRPr="003E397D">
        <w:rPr>
          <w:b/>
          <w:bCs/>
        </w:rPr>
        <w:t>Investment Strategy</w:t>
      </w:r>
    </w:p>
    <w:p w14:paraId="26B449D0" w14:textId="73FD55FD" w:rsidR="00C969CA" w:rsidRPr="00485FF5" w:rsidRDefault="00C969CA" w:rsidP="00C969CA">
      <w:pPr>
        <w:pBdr>
          <w:top w:val="nil"/>
          <w:left w:val="nil"/>
          <w:bottom w:val="nil"/>
          <w:right w:val="nil"/>
          <w:between w:val="nil"/>
        </w:pBdr>
        <w:spacing w:before="120" w:after="120"/>
        <w:rPr>
          <w:rFonts w:cs="Arial"/>
          <w:sz w:val="20"/>
          <w:szCs w:val="20"/>
        </w:rPr>
      </w:pPr>
      <w:r w:rsidRPr="00485FF5">
        <w:rPr>
          <w:rFonts w:cs="Arial"/>
          <w:sz w:val="20"/>
          <w:szCs w:val="20"/>
        </w:rPr>
        <w:t xml:space="preserve">The Sub-Fund aims for a better sustainability profile compared to relevant broad market indices for </w:t>
      </w:r>
      <w:r w:rsidR="00EC1EB0" w:rsidRPr="00485FF5">
        <w:rPr>
          <w:rFonts w:cs="Arial"/>
          <w:sz w:val="20"/>
          <w:szCs w:val="20"/>
        </w:rPr>
        <w:t>most</w:t>
      </w:r>
      <w:r w:rsidRPr="00485FF5">
        <w:rPr>
          <w:rFonts w:cs="Arial"/>
          <w:sz w:val="20"/>
          <w:szCs w:val="20"/>
        </w:rPr>
        <w:t xml:space="preserve"> asset class exposures by integrating ESG (</w:t>
      </w:r>
      <w:r w:rsidR="00EC1EB0" w:rsidRPr="00485FF5">
        <w:rPr>
          <w:rFonts w:cs="Arial"/>
          <w:sz w:val="20"/>
          <w:szCs w:val="20"/>
        </w:rPr>
        <w:t>i.e.,</w:t>
      </w:r>
      <w:r w:rsidRPr="00485FF5">
        <w:rPr>
          <w:rFonts w:cs="Arial"/>
          <w:sz w:val="20"/>
          <w:szCs w:val="20"/>
        </w:rPr>
        <w:t xml:space="preserve"> Environmental, Social and corporate Governance) factors. For the assessment, areas like corporate strategy, corporate governance, transparency as well as the product and service range of a company are </w:t>
      </w:r>
      <w:r w:rsidR="00EC1EB0" w:rsidRPr="00485FF5">
        <w:rPr>
          <w:rFonts w:cs="Arial"/>
          <w:sz w:val="20"/>
          <w:szCs w:val="20"/>
        </w:rPr>
        <w:t>considered</w:t>
      </w:r>
      <w:r w:rsidRPr="00485FF5">
        <w:rPr>
          <w:rFonts w:cs="Arial"/>
          <w:sz w:val="20"/>
          <w:szCs w:val="20"/>
        </w:rPr>
        <w:t>.</w:t>
      </w:r>
    </w:p>
    <w:p w14:paraId="192BE853" w14:textId="77777777" w:rsidR="00C969CA" w:rsidRPr="00C969CA" w:rsidRDefault="00C969CA" w:rsidP="003E397D">
      <w:pPr>
        <w:rPr>
          <w:sz w:val="20"/>
          <w:szCs w:val="20"/>
        </w:rPr>
      </w:pPr>
      <w:r w:rsidRPr="00C969CA">
        <w:rPr>
          <w:sz w:val="20"/>
          <w:szCs w:val="20"/>
        </w:rPr>
        <w:t xml:space="preserve">The investment </w:t>
      </w:r>
      <w:r w:rsidRPr="00C969CA">
        <w:rPr>
          <w:sz w:val="20"/>
          <w:szCs w:val="20"/>
        </w:rPr>
        <w:t>strategy</w:t>
      </w:r>
      <w:r w:rsidRPr="00C969CA">
        <w:rPr>
          <w:sz w:val="20"/>
          <w:szCs w:val="20"/>
        </w:rPr>
        <w:t xml:space="preserve"> is achieved through an actively managed diversified portfolio that invests, via other collective investment schemes, or other similar schemes as well as via transferable securities, across a broad range of asset classes and currencies in varying proportions over time. </w:t>
      </w:r>
    </w:p>
    <w:p w14:paraId="40604DDE" w14:textId="2CA6E1A9" w:rsidR="003E397D" w:rsidRPr="003E397D" w:rsidRDefault="003E397D" w:rsidP="003E397D">
      <w:pPr>
        <w:rPr>
          <w:b/>
          <w:bCs/>
        </w:rPr>
      </w:pPr>
      <w:r w:rsidRPr="003E397D">
        <w:rPr>
          <w:b/>
          <w:bCs/>
        </w:rPr>
        <w:t>Planned asset allocation</w:t>
      </w:r>
    </w:p>
    <w:p w14:paraId="1A13DFD4" w14:textId="05A37298" w:rsidR="00C969CA" w:rsidRDefault="003E397D" w:rsidP="003E397D">
      <w:pPr>
        <w:rPr>
          <w:rFonts w:cs="Arial"/>
          <w:sz w:val="20"/>
          <w:szCs w:val="20"/>
          <w:lang w:eastAsia="nl-NL"/>
        </w:rPr>
      </w:pPr>
      <w:r w:rsidRPr="003E397D">
        <w:rPr>
          <w:rFonts w:cstheme="minorHAnsi"/>
          <w:sz w:val="20"/>
          <w:szCs w:val="20"/>
        </w:rPr>
        <w:t xml:space="preserve">The </w:t>
      </w:r>
      <w:r w:rsidR="00ED124D">
        <w:rPr>
          <w:rFonts w:cstheme="minorHAnsi"/>
          <w:sz w:val="20"/>
          <w:szCs w:val="20"/>
        </w:rPr>
        <w:t>Sub-Fund</w:t>
      </w:r>
      <w:r w:rsidRPr="003E397D">
        <w:rPr>
          <w:rFonts w:cstheme="minorHAnsi"/>
          <w:sz w:val="20"/>
          <w:szCs w:val="20"/>
        </w:rPr>
        <w:t xml:space="preserve"> plans to make a minimum amount of </w:t>
      </w:r>
      <w:r w:rsidR="00C969CA">
        <w:rPr>
          <w:rFonts w:cstheme="minorHAnsi"/>
          <w:sz w:val="20"/>
          <w:szCs w:val="20"/>
        </w:rPr>
        <w:t>25</w:t>
      </w:r>
      <w:r w:rsidRPr="003E397D">
        <w:rPr>
          <w:rFonts w:cstheme="minorHAnsi"/>
          <w:sz w:val="20"/>
          <w:szCs w:val="20"/>
        </w:rPr>
        <w:t xml:space="preserve">% sustainable investments. </w:t>
      </w:r>
      <w:r w:rsidR="00C969CA">
        <w:rPr>
          <w:rFonts w:cstheme="minorHAnsi"/>
          <w:sz w:val="20"/>
          <w:szCs w:val="20"/>
        </w:rPr>
        <w:t xml:space="preserve">At least 85% of </w:t>
      </w:r>
      <w:r w:rsidRPr="003E397D">
        <w:rPr>
          <w:rFonts w:cstheme="minorHAnsi"/>
          <w:sz w:val="20"/>
          <w:szCs w:val="20"/>
        </w:rPr>
        <w:t>investments are aligned with the E/S characteristics</w:t>
      </w:r>
      <w:r w:rsidR="00C969CA">
        <w:rPr>
          <w:rFonts w:cstheme="minorHAnsi"/>
          <w:sz w:val="20"/>
          <w:szCs w:val="20"/>
        </w:rPr>
        <w:t xml:space="preserve">. The </w:t>
      </w:r>
      <w:r w:rsidRPr="003E397D">
        <w:rPr>
          <w:rFonts w:cstheme="minorHAnsi"/>
          <w:sz w:val="20"/>
          <w:szCs w:val="20"/>
        </w:rPr>
        <w:t xml:space="preserve">exception </w:t>
      </w:r>
      <w:r w:rsidR="00C969CA">
        <w:rPr>
          <w:rFonts w:cstheme="minorHAnsi"/>
          <w:sz w:val="20"/>
          <w:szCs w:val="20"/>
        </w:rPr>
        <w:t>being</w:t>
      </w:r>
      <w:r w:rsidRPr="003E397D">
        <w:rPr>
          <w:rFonts w:cstheme="minorHAnsi"/>
          <w:sz w:val="20"/>
          <w:szCs w:val="20"/>
        </w:rPr>
        <w:t xml:space="preserve"> investments in the category “other” which </w:t>
      </w:r>
      <w:r w:rsidR="00C969CA" w:rsidRPr="00F8580C">
        <w:rPr>
          <w:rFonts w:cs="Arial"/>
          <w:color w:val="000000"/>
          <w:sz w:val="20"/>
          <w:szCs w:val="20"/>
        </w:rPr>
        <w:t>may include cash, cash equivalents, derivatives, investments in government bonds, alternative</w:t>
      </w:r>
      <w:r w:rsidR="00C969CA" w:rsidRPr="00F8580C">
        <w:rPr>
          <w:rFonts w:cs="Arial"/>
          <w:sz w:val="20"/>
          <w:szCs w:val="20"/>
        </w:rPr>
        <w:t xml:space="preserve"> </w:t>
      </w:r>
      <w:r w:rsidR="00C969CA" w:rsidRPr="00F8580C">
        <w:rPr>
          <w:rFonts w:cs="Arial"/>
          <w:color w:val="000000"/>
          <w:sz w:val="20"/>
          <w:szCs w:val="20"/>
        </w:rPr>
        <w:t xml:space="preserve">strategies and collective investment schemes investing in </w:t>
      </w:r>
      <w:r w:rsidR="00ED124D" w:rsidRPr="00F8580C">
        <w:rPr>
          <w:rFonts w:cs="Arial"/>
          <w:sz w:val="20"/>
          <w:szCs w:val="20"/>
          <w:lang w:eastAsia="nl-NL"/>
        </w:rPr>
        <w:t>commodities.</w:t>
      </w:r>
    </w:p>
    <w:p w14:paraId="28ABE406" w14:textId="58BB074C" w:rsidR="003E397D" w:rsidRPr="003E397D" w:rsidRDefault="003E397D" w:rsidP="003E397D">
      <w:pPr>
        <w:rPr>
          <w:b/>
          <w:bCs/>
        </w:rPr>
      </w:pPr>
      <w:r w:rsidRPr="003E397D">
        <w:rPr>
          <w:b/>
          <w:bCs/>
        </w:rPr>
        <w:t>Monitoring and due diligence</w:t>
      </w:r>
    </w:p>
    <w:p w14:paraId="064A3B91" w14:textId="77777777" w:rsidR="00ED124D" w:rsidRDefault="003E397D" w:rsidP="00ED124D">
      <w:pPr>
        <w:rPr>
          <w:rFonts w:cstheme="minorHAnsi"/>
          <w:sz w:val="20"/>
          <w:szCs w:val="20"/>
        </w:rPr>
      </w:pPr>
      <w:r w:rsidRPr="004F43F2">
        <w:rPr>
          <w:sz w:val="20"/>
          <w:szCs w:val="20"/>
        </w:rPr>
        <w:t>The Sub-Fund</w:t>
      </w:r>
      <w:r w:rsidRPr="004F43F2">
        <w:rPr>
          <w:sz w:val="20"/>
          <w:szCs w:val="20"/>
        </w:rPr>
        <w:t xml:space="preserve"> has incorporated the sustainability aspects of the investment strategies</w:t>
      </w:r>
      <w:r w:rsidRPr="004F43F2">
        <w:rPr>
          <w:sz w:val="20"/>
          <w:szCs w:val="20"/>
        </w:rPr>
        <w:t xml:space="preserve"> by </w:t>
      </w:r>
      <w:r w:rsidR="00C969CA">
        <w:rPr>
          <w:sz w:val="20"/>
          <w:szCs w:val="20"/>
        </w:rPr>
        <w:t>implementing appropriate</w:t>
      </w:r>
      <w:r w:rsidRPr="004F43F2">
        <w:rPr>
          <w:sz w:val="20"/>
          <w:szCs w:val="20"/>
        </w:rPr>
        <w:t xml:space="preserve"> </w:t>
      </w:r>
      <w:r w:rsidRPr="004F43F2">
        <w:rPr>
          <w:sz w:val="20"/>
          <w:szCs w:val="20"/>
        </w:rPr>
        <w:t>investment due diligence processes and procedures for the selection and monitoring of investments</w:t>
      </w:r>
      <w:r w:rsidR="00ED124D">
        <w:rPr>
          <w:sz w:val="20"/>
          <w:szCs w:val="20"/>
        </w:rPr>
        <w:t>. The</w:t>
      </w:r>
      <w:r w:rsidRPr="004F43F2">
        <w:rPr>
          <w:sz w:val="20"/>
          <w:szCs w:val="20"/>
        </w:rPr>
        <w:t xml:space="preserve"> p</w:t>
      </w:r>
      <w:r w:rsidRPr="004F43F2">
        <w:rPr>
          <w:sz w:val="20"/>
          <w:szCs w:val="20"/>
        </w:rPr>
        <w:t xml:space="preserve">ortfolio managers and analysts are primarily responsible for conducting investment due diligence on their strategies on </w:t>
      </w:r>
      <w:r w:rsidR="00ED124D">
        <w:rPr>
          <w:sz w:val="20"/>
          <w:szCs w:val="20"/>
        </w:rPr>
        <w:t>an ongoing</w:t>
      </w:r>
      <w:r w:rsidRPr="004F43F2">
        <w:rPr>
          <w:sz w:val="20"/>
          <w:szCs w:val="20"/>
        </w:rPr>
        <w:t xml:space="preserve"> basis</w:t>
      </w:r>
      <w:r w:rsidR="00ED124D" w:rsidRPr="00ED124D">
        <w:rPr>
          <w:rFonts w:cstheme="minorHAnsi"/>
          <w:sz w:val="20"/>
          <w:szCs w:val="20"/>
        </w:rPr>
        <w:t xml:space="preserve"> </w:t>
      </w:r>
    </w:p>
    <w:p w14:paraId="55A61401" w14:textId="2321D579" w:rsidR="00ED124D" w:rsidRDefault="00ED124D" w:rsidP="00ED124D">
      <w:pPr>
        <w:rPr>
          <w:rFonts w:cstheme="minorHAnsi"/>
          <w:sz w:val="20"/>
          <w:szCs w:val="20"/>
        </w:rPr>
      </w:pPr>
      <w:r>
        <w:rPr>
          <w:rFonts w:cstheme="minorHAnsi"/>
          <w:sz w:val="20"/>
          <w:szCs w:val="20"/>
        </w:rPr>
        <w:t xml:space="preserve">Where available, we monitor ESG scores and SDG alignment of the </w:t>
      </w:r>
      <w:r>
        <w:rPr>
          <w:rFonts w:cstheme="minorHAnsi"/>
          <w:sz w:val="20"/>
          <w:szCs w:val="20"/>
        </w:rPr>
        <w:t>S</w:t>
      </w:r>
      <w:r>
        <w:rPr>
          <w:rFonts w:cstheme="minorHAnsi"/>
          <w:sz w:val="20"/>
          <w:szCs w:val="20"/>
        </w:rPr>
        <w:t>ub-</w:t>
      </w:r>
      <w:r>
        <w:rPr>
          <w:rFonts w:cstheme="minorHAnsi"/>
          <w:sz w:val="20"/>
          <w:szCs w:val="20"/>
        </w:rPr>
        <w:t>Funds’</w:t>
      </w:r>
      <w:r>
        <w:rPr>
          <w:rFonts w:cstheme="minorHAnsi"/>
          <w:sz w:val="20"/>
          <w:szCs w:val="20"/>
        </w:rPr>
        <w:t xml:space="preserve"> investments and investigate any unexpected exposures to controversial or excluded activities. </w:t>
      </w:r>
    </w:p>
    <w:p w14:paraId="0685BEE7" w14:textId="36FB4897" w:rsidR="003E397D" w:rsidRPr="004F43F2" w:rsidRDefault="004F43F2" w:rsidP="00ED124D">
      <w:pPr>
        <w:rPr>
          <w:b/>
          <w:bCs/>
        </w:rPr>
      </w:pPr>
      <w:r w:rsidRPr="004F43F2">
        <w:rPr>
          <w:b/>
          <w:bCs/>
        </w:rPr>
        <w:lastRenderedPageBreak/>
        <w:t xml:space="preserve">Data sources, </w:t>
      </w:r>
      <w:r w:rsidR="00ED124D" w:rsidRPr="004F43F2">
        <w:rPr>
          <w:b/>
          <w:bCs/>
        </w:rPr>
        <w:t>methodologies,</w:t>
      </w:r>
      <w:r w:rsidRPr="004F43F2">
        <w:rPr>
          <w:b/>
          <w:bCs/>
        </w:rPr>
        <w:t xml:space="preserve"> and limitations</w:t>
      </w:r>
    </w:p>
    <w:p w14:paraId="16540114" w14:textId="078026CE" w:rsidR="00ED124D" w:rsidRDefault="004F43F2" w:rsidP="003E397D">
      <w:pPr>
        <w:rPr>
          <w:sz w:val="20"/>
          <w:szCs w:val="20"/>
        </w:rPr>
      </w:pPr>
      <w:r w:rsidRPr="004F43F2">
        <w:rPr>
          <w:sz w:val="20"/>
          <w:szCs w:val="20"/>
        </w:rPr>
        <w:t xml:space="preserve">The </w:t>
      </w:r>
      <w:r w:rsidR="00ED124D">
        <w:rPr>
          <w:sz w:val="20"/>
          <w:szCs w:val="20"/>
        </w:rPr>
        <w:t>Sub-Fund</w:t>
      </w:r>
      <w:r w:rsidRPr="004F43F2">
        <w:rPr>
          <w:sz w:val="20"/>
          <w:szCs w:val="20"/>
        </w:rPr>
        <w:t xml:space="preserve"> uses several sources for gathering sustainability data.</w:t>
      </w:r>
    </w:p>
    <w:p w14:paraId="2FBA2BC4" w14:textId="3191BAE1" w:rsidR="00ED124D" w:rsidRDefault="00ED124D" w:rsidP="00ED124D">
      <w:pPr>
        <w:spacing w:before="120" w:after="120"/>
        <w:rPr>
          <w:sz w:val="20"/>
          <w:szCs w:val="20"/>
        </w:rPr>
      </w:pPr>
      <w:r w:rsidRPr="00DC1A5E">
        <w:rPr>
          <w:sz w:val="20"/>
          <w:szCs w:val="20"/>
        </w:rPr>
        <w:t xml:space="preserve">The ESG characteristics of the </w:t>
      </w:r>
      <w:r>
        <w:rPr>
          <w:sz w:val="20"/>
          <w:szCs w:val="20"/>
        </w:rPr>
        <w:t>Sub-Fund</w:t>
      </w:r>
      <w:r w:rsidRPr="00DC1A5E">
        <w:rPr>
          <w:sz w:val="20"/>
          <w:szCs w:val="20"/>
        </w:rPr>
        <w:t xml:space="preserve"> are measured using data from Morningstar</w:t>
      </w:r>
      <w:r>
        <w:rPr>
          <w:sz w:val="20"/>
          <w:szCs w:val="20"/>
        </w:rPr>
        <w:t xml:space="preserve"> </w:t>
      </w:r>
      <w:r w:rsidRPr="00DC1A5E">
        <w:rPr>
          <w:sz w:val="20"/>
          <w:szCs w:val="20"/>
        </w:rPr>
        <w:t>(</w:t>
      </w:r>
      <w:proofErr w:type="spellStart"/>
      <w:r w:rsidRPr="00DC1A5E">
        <w:rPr>
          <w:sz w:val="20"/>
          <w:szCs w:val="20"/>
        </w:rPr>
        <w:t>Sustainalytics</w:t>
      </w:r>
      <w:proofErr w:type="spellEnd"/>
      <w:r w:rsidRPr="00DC1A5E">
        <w:rPr>
          <w:sz w:val="20"/>
          <w:szCs w:val="20"/>
        </w:rPr>
        <w:t xml:space="preserve">). </w:t>
      </w:r>
      <w:r w:rsidRPr="00DC1A5E">
        <w:rPr>
          <w:sz w:val="20"/>
          <w:szCs w:val="20"/>
        </w:rPr>
        <w:t>Where</w:t>
      </w:r>
      <w:r w:rsidRPr="00DC1A5E">
        <w:rPr>
          <w:sz w:val="20"/>
          <w:szCs w:val="20"/>
        </w:rPr>
        <w:t xml:space="preserve"> data is available, each underlying holding is screened for a variety of metrics, such as the overall environmental, governance or social score or the percentage involvements in certain categories that can lead to sustainability risks.</w:t>
      </w:r>
    </w:p>
    <w:p w14:paraId="30DED9DA" w14:textId="536360B9" w:rsidR="00ED124D" w:rsidRDefault="00ED124D" w:rsidP="003E397D">
      <w:pPr>
        <w:rPr>
          <w:sz w:val="20"/>
          <w:szCs w:val="20"/>
        </w:rPr>
      </w:pPr>
      <w:r>
        <w:rPr>
          <w:sz w:val="20"/>
          <w:szCs w:val="20"/>
        </w:rPr>
        <w:t>Other external data sources are also used to assess voting and exclusion criteria.</w:t>
      </w:r>
      <w:r w:rsidR="004F43F2" w:rsidRPr="004F43F2">
        <w:rPr>
          <w:sz w:val="20"/>
          <w:szCs w:val="20"/>
        </w:rPr>
        <w:t xml:space="preserve"> </w:t>
      </w:r>
    </w:p>
    <w:p w14:paraId="1BBE96FA" w14:textId="47DF53E6" w:rsidR="00ED124D" w:rsidRDefault="00ED124D" w:rsidP="003E397D">
      <w:pPr>
        <w:rPr>
          <w:rFonts w:cstheme="minorHAnsi"/>
          <w:sz w:val="20"/>
          <w:szCs w:val="20"/>
        </w:rPr>
      </w:pPr>
      <w:r w:rsidRPr="00F63E8F">
        <w:rPr>
          <w:rFonts w:cstheme="minorHAnsi"/>
          <w:sz w:val="20"/>
          <w:szCs w:val="20"/>
        </w:rPr>
        <w:t xml:space="preserve">The underlying </w:t>
      </w:r>
      <w:r>
        <w:rPr>
          <w:rFonts w:cstheme="minorHAnsi"/>
          <w:sz w:val="20"/>
          <w:szCs w:val="20"/>
        </w:rPr>
        <w:t>fund</w:t>
      </w:r>
      <w:r w:rsidRPr="00F63E8F">
        <w:rPr>
          <w:rFonts w:cstheme="minorHAnsi"/>
          <w:sz w:val="20"/>
          <w:szCs w:val="20"/>
        </w:rPr>
        <w:t xml:space="preserve"> managers of the </w:t>
      </w:r>
      <w:r w:rsidR="00BF4418">
        <w:rPr>
          <w:rFonts w:cstheme="minorHAnsi"/>
          <w:sz w:val="20"/>
          <w:szCs w:val="20"/>
        </w:rPr>
        <w:t>S</w:t>
      </w:r>
      <w:r w:rsidRPr="00F63E8F">
        <w:rPr>
          <w:rFonts w:cstheme="minorHAnsi"/>
          <w:sz w:val="20"/>
          <w:szCs w:val="20"/>
        </w:rPr>
        <w:t>ub-</w:t>
      </w:r>
      <w:r w:rsidR="00BF4418">
        <w:rPr>
          <w:rFonts w:cstheme="minorHAnsi"/>
          <w:sz w:val="20"/>
          <w:szCs w:val="20"/>
        </w:rPr>
        <w:t>F</w:t>
      </w:r>
      <w:r w:rsidRPr="00F63E8F">
        <w:rPr>
          <w:rFonts w:cstheme="minorHAnsi"/>
          <w:sz w:val="20"/>
          <w:szCs w:val="20"/>
        </w:rPr>
        <w:t>unds</w:t>
      </w:r>
      <w:r>
        <w:rPr>
          <w:rFonts w:cstheme="minorHAnsi"/>
          <w:sz w:val="20"/>
          <w:szCs w:val="20"/>
        </w:rPr>
        <w:t>’</w:t>
      </w:r>
      <w:r w:rsidRPr="00F63E8F">
        <w:rPr>
          <w:rFonts w:cstheme="minorHAnsi"/>
          <w:sz w:val="20"/>
          <w:szCs w:val="20"/>
        </w:rPr>
        <w:t xml:space="preserve"> holdings in collective investment schemes also conduct their own monitoring of portfolio investments to ensure adherence to the environmental or social characteristics they target. Each manager is entitled to choose their own data sources which are disclosed to us and their other clients separately.</w:t>
      </w:r>
    </w:p>
    <w:p w14:paraId="472F75ED" w14:textId="48B9D21E" w:rsidR="004F43F2" w:rsidRPr="004F43F2" w:rsidRDefault="004F43F2" w:rsidP="003E397D">
      <w:pPr>
        <w:rPr>
          <w:sz w:val="20"/>
          <w:szCs w:val="20"/>
        </w:rPr>
      </w:pPr>
      <w:r w:rsidRPr="004F43F2">
        <w:rPr>
          <w:sz w:val="20"/>
          <w:szCs w:val="20"/>
        </w:rPr>
        <w:t xml:space="preserve">The primary limitation to the methodology or data source is the lack of corporate disclosure. Like many other financial market participants, we struggle to find adequate information on the principal adverse indicators. To overcome this issue, </w:t>
      </w:r>
      <w:r w:rsidRPr="004F43F2">
        <w:rPr>
          <w:sz w:val="20"/>
          <w:szCs w:val="20"/>
        </w:rPr>
        <w:t>the Sub-Fund uses</w:t>
      </w:r>
      <w:r w:rsidRPr="004F43F2">
        <w:rPr>
          <w:sz w:val="20"/>
          <w:szCs w:val="20"/>
        </w:rPr>
        <w:t xml:space="preserve"> multiple data providers, since each has its own respective strengths and weaknesses.</w:t>
      </w:r>
    </w:p>
    <w:p w14:paraId="0C884CB0" w14:textId="544AF2CD" w:rsidR="004F43F2" w:rsidRPr="004F43F2" w:rsidRDefault="004F43F2" w:rsidP="003E397D">
      <w:pPr>
        <w:rPr>
          <w:b/>
          <w:bCs/>
        </w:rPr>
      </w:pPr>
      <w:r w:rsidRPr="004F43F2">
        <w:rPr>
          <w:b/>
          <w:bCs/>
        </w:rPr>
        <w:t>Engagement strategy</w:t>
      </w:r>
    </w:p>
    <w:p w14:paraId="289FBE18" w14:textId="73980296" w:rsidR="00ED124D" w:rsidRPr="00F63E8F" w:rsidRDefault="00ED124D" w:rsidP="00ED124D">
      <w:pPr>
        <w:spacing w:before="120" w:after="120"/>
        <w:rPr>
          <w:sz w:val="20"/>
          <w:szCs w:val="20"/>
        </w:rPr>
      </w:pPr>
      <w:r w:rsidRPr="00F63E8F">
        <w:rPr>
          <w:sz w:val="20"/>
          <w:szCs w:val="20"/>
        </w:rPr>
        <w:t xml:space="preserve">For the </w:t>
      </w:r>
      <w:r>
        <w:rPr>
          <w:sz w:val="20"/>
          <w:szCs w:val="20"/>
        </w:rPr>
        <w:t>Sub-Fund</w:t>
      </w:r>
      <w:r w:rsidRPr="00F63E8F">
        <w:rPr>
          <w:sz w:val="20"/>
          <w:szCs w:val="20"/>
        </w:rPr>
        <w:t xml:space="preserve">’s investments in third party funds and pooled vehicles, proxy voting and engagement at the underlying investment level is delegated to the respective fund managers. They actively encourage good governance and sustainable corporate practices, which contribute to long-term shareholder value creation. The underlying fund managers report to us on a quarterly basis with data on all votes cast and </w:t>
      </w:r>
      <w:r w:rsidR="00EC1EB0" w:rsidRPr="00F63E8F">
        <w:rPr>
          <w:sz w:val="20"/>
          <w:szCs w:val="20"/>
        </w:rPr>
        <w:t>cases</w:t>
      </w:r>
      <w:r w:rsidRPr="00F63E8F">
        <w:rPr>
          <w:sz w:val="20"/>
          <w:szCs w:val="20"/>
        </w:rPr>
        <w:t xml:space="preserve"> of engagement. Where we </w:t>
      </w:r>
      <w:r w:rsidR="00EC1EB0" w:rsidRPr="00F63E8F">
        <w:rPr>
          <w:sz w:val="20"/>
          <w:szCs w:val="20"/>
        </w:rPr>
        <w:t>can</w:t>
      </w:r>
      <w:r w:rsidRPr="00F63E8F">
        <w:rPr>
          <w:sz w:val="20"/>
          <w:szCs w:val="20"/>
        </w:rPr>
        <w:t xml:space="preserve"> vote or engage, in particular for directly held securities, we follow the approach set out in our Proxy Voting and Engagement policies. </w:t>
      </w:r>
    </w:p>
    <w:p w14:paraId="6FA7EE08" w14:textId="77777777" w:rsidR="004F43F2" w:rsidRPr="003E397D" w:rsidRDefault="004F43F2" w:rsidP="003E397D"/>
    <w:p w14:paraId="26CD877C" w14:textId="2796EA13" w:rsidR="00D55282" w:rsidRDefault="00D55282" w:rsidP="006A64EF"/>
    <w:sectPr w:rsidR="00D552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603F" w14:textId="77777777" w:rsidR="001017BF" w:rsidRDefault="001017BF" w:rsidP="001017BF">
      <w:pPr>
        <w:spacing w:after="0" w:line="240" w:lineRule="auto"/>
      </w:pPr>
      <w:r>
        <w:separator/>
      </w:r>
    </w:p>
  </w:endnote>
  <w:endnote w:type="continuationSeparator" w:id="0">
    <w:p w14:paraId="50B5B16F" w14:textId="77777777" w:rsidR="001017BF" w:rsidRDefault="001017BF" w:rsidP="001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DC79" w14:textId="77777777" w:rsidR="001017BF" w:rsidRDefault="001017BF" w:rsidP="001017BF">
      <w:pPr>
        <w:spacing w:after="0" w:line="240" w:lineRule="auto"/>
      </w:pPr>
      <w:r>
        <w:separator/>
      </w:r>
    </w:p>
  </w:footnote>
  <w:footnote w:type="continuationSeparator" w:id="0">
    <w:p w14:paraId="7A23EB5B" w14:textId="77777777" w:rsidR="001017BF" w:rsidRDefault="001017BF" w:rsidP="0010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977" w14:textId="0378385E" w:rsidR="001017BF" w:rsidRDefault="001017BF" w:rsidP="001017BF">
    <w:pPr>
      <w:pStyle w:val="Header"/>
      <w:ind w:left="2687" w:firstLine="4513"/>
    </w:pPr>
    <w:r>
      <w:rPr>
        <w:noProof/>
      </w:rPr>
      <w:drawing>
        <wp:inline distT="0" distB="0" distL="0" distR="0" wp14:anchorId="2616F697" wp14:editId="59FEBBD9">
          <wp:extent cx="1524000" cy="58437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23" cy="591093"/>
                  </a:xfrm>
                  <a:prstGeom prst="rect">
                    <a:avLst/>
                  </a:prstGeom>
                  <a:noFill/>
                  <a:ln>
                    <a:noFill/>
                  </a:ln>
                </pic:spPr>
              </pic:pic>
            </a:graphicData>
          </a:graphic>
        </wp:inline>
      </w:drawing>
    </w:r>
  </w:p>
  <w:p w14:paraId="657EC196" w14:textId="77777777" w:rsidR="001017BF" w:rsidRDefault="0010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B84"/>
    <w:multiLevelType w:val="hybridMultilevel"/>
    <w:tmpl w:val="067AD0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7966A4"/>
    <w:multiLevelType w:val="hybridMultilevel"/>
    <w:tmpl w:val="64942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A2C2C"/>
    <w:multiLevelType w:val="hybridMultilevel"/>
    <w:tmpl w:val="88FA7F6C"/>
    <w:lvl w:ilvl="0" w:tplc="16AAE50E">
      <w:start w:val="1"/>
      <w:numFmt w:val="bullet"/>
      <w:lvlText w:val="o"/>
      <w:lvlJc w:val="left"/>
      <w:pPr>
        <w:ind w:left="720" w:hanging="360"/>
      </w:pPr>
      <w:rPr>
        <w:rFonts w:ascii="Courier New" w:hAnsi="Courier New" w:cs="Courier New" w:hint="default"/>
      </w:rPr>
    </w:lvl>
    <w:lvl w:ilvl="1" w:tplc="C7A6E0D0" w:tentative="1">
      <w:start w:val="1"/>
      <w:numFmt w:val="bullet"/>
      <w:lvlText w:val="o"/>
      <w:lvlJc w:val="left"/>
      <w:pPr>
        <w:ind w:left="1440" w:hanging="360"/>
      </w:pPr>
      <w:rPr>
        <w:rFonts w:ascii="Courier New" w:hAnsi="Courier New" w:cs="Courier New" w:hint="default"/>
      </w:rPr>
    </w:lvl>
    <w:lvl w:ilvl="2" w:tplc="21F6304E" w:tentative="1">
      <w:start w:val="1"/>
      <w:numFmt w:val="bullet"/>
      <w:lvlText w:val=""/>
      <w:lvlJc w:val="left"/>
      <w:pPr>
        <w:ind w:left="2160" w:hanging="360"/>
      </w:pPr>
      <w:rPr>
        <w:rFonts w:ascii="Wingdings" w:hAnsi="Wingdings" w:hint="default"/>
      </w:rPr>
    </w:lvl>
    <w:lvl w:ilvl="3" w:tplc="756E5840" w:tentative="1">
      <w:start w:val="1"/>
      <w:numFmt w:val="bullet"/>
      <w:lvlText w:val=""/>
      <w:lvlJc w:val="left"/>
      <w:pPr>
        <w:ind w:left="2880" w:hanging="360"/>
      </w:pPr>
      <w:rPr>
        <w:rFonts w:ascii="Symbol" w:hAnsi="Symbol" w:hint="default"/>
      </w:rPr>
    </w:lvl>
    <w:lvl w:ilvl="4" w:tplc="E2567DFE" w:tentative="1">
      <w:start w:val="1"/>
      <w:numFmt w:val="bullet"/>
      <w:lvlText w:val="o"/>
      <w:lvlJc w:val="left"/>
      <w:pPr>
        <w:ind w:left="3600" w:hanging="360"/>
      </w:pPr>
      <w:rPr>
        <w:rFonts w:ascii="Courier New" w:hAnsi="Courier New" w:cs="Courier New" w:hint="default"/>
      </w:rPr>
    </w:lvl>
    <w:lvl w:ilvl="5" w:tplc="F1CCDA34" w:tentative="1">
      <w:start w:val="1"/>
      <w:numFmt w:val="bullet"/>
      <w:lvlText w:val=""/>
      <w:lvlJc w:val="left"/>
      <w:pPr>
        <w:ind w:left="4320" w:hanging="360"/>
      </w:pPr>
      <w:rPr>
        <w:rFonts w:ascii="Wingdings" w:hAnsi="Wingdings" w:hint="default"/>
      </w:rPr>
    </w:lvl>
    <w:lvl w:ilvl="6" w:tplc="8FBA7E5A" w:tentative="1">
      <w:start w:val="1"/>
      <w:numFmt w:val="bullet"/>
      <w:lvlText w:val=""/>
      <w:lvlJc w:val="left"/>
      <w:pPr>
        <w:ind w:left="5040" w:hanging="360"/>
      </w:pPr>
      <w:rPr>
        <w:rFonts w:ascii="Symbol" w:hAnsi="Symbol" w:hint="default"/>
      </w:rPr>
    </w:lvl>
    <w:lvl w:ilvl="7" w:tplc="BDF28DA2" w:tentative="1">
      <w:start w:val="1"/>
      <w:numFmt w:val="bullet"/>
      <w:lvlText w:val="o"/>
      <w:lvlJc w:val="left"/>
      <w:pPr>
        <w:ind w:left="5760" w:hanging="360"/>
      </w:pPr>
      <w:rPr>
        <w:rFonts w:ascii="Courier New" w:hAnsi="Courier New" w:cs="Courier New" w:hint="default"/>
      </w:rPr>
    </w:lvl>
    <w:lvl w:ilvl="8" w:tplc="06E03952" w:tentative="1">
      <w:start w:val="1"/>
      <w:numFmt w:val="bullet"/>
      <w:lvlText w:val=""/>
      <w:lvlJc w:val="left"/>
      <w:pPr>
        <w:ind w:left="6480" w:hanging="360"/>
      </w:pPr>
      <w:rPr>
        <w:rFonts w:ascii="Wingdings" w:hAnsi="Wingdings" w:hint="default"/>
      </w:rPr>
    </w:lvl>
  </w:abstractNum>
  <w:abstractNum w:abstractNumId="3" w15:restartNumberingAfterBreak="0">
    <w:nsid w:val="479727F8"/>
    <w:multiLevelType w:val="hybridMultilevel"/>
    <w:tmpl w:val="AB987D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110F7E"/>
    <w:multiLevelType w:val="hybridMultilevel"/>
    <w:tmpl w:val="79566D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290478"/>
    <w:multiLevelType w:val="hybridMultilevel"/>
    <w:tmpl w:val="F0A6907C"/>
    <w:lvl w:ilvl="0" w:tplc="D00A884E">
      <w:start w:val="9"/>
      <w:numFmt w:val="bullet"/>
      <w:lvlText w:val="-"/>
      <w:lvlJc w:val="left"/>
      <w:pPr>
        <w:ind w:left="720" w:hanging="360"/>
      </w:pPr>
      <w:rPr>
        <w:rFonts w:ascii="Calibri" w:eastAsiaTheme="minorHAnsi" w:hAnsi="Calibri" w:cs="Calibri" w:hint="default"/>
      </w:rPr>
    </w:lvl>
    <w:lvl w:ilvl="1" w:tplc="97FAE7FE" w:tentative="1">
      <w:start w:val="1"/>
      <w:numFmt w:val="bullet"/>
      <w:lvlText w:val="o"/>
      <w:lvlJc w:val="left"/>
      <w:pPr>
        <w:ind w:left="1440" w:hanging="360"/>
      </w:pPr>
      <w:rPr>
        <w:rFonts w:ascii="Courier New" w:hAnsi="Courier New" w:cs="Courier New" w:hint="default"/>
      </w:rPr>
    </w:lvl>
    <w:lvl w:ilvl="2" w:tplc="BA223E32" w:tentative="1">
      <w:start w:val="1"/>
      <w:numFmt w:val="bullet"/>
      <w:lvlText w:val=""/>
      <w:lvlJc w:val="left"/>
      <w:pPr>
        <w:ind w:left="2160" w:hanging="360"/>
      </w:pPr>
      <w:rPr>
        <w:rFonts w:ascii="Wingdings" w:hAnsi="Wingdings" w:hint="default"/>
      </w:rPr>
    </w:lvl>
    <w:lvl w:ilvl="3" w:tplc="7A046B46" w:tentative="1">
      <w:start w:val="1"/>
      <w:numFmt w:val="bullet"/>
      <w:lvlText w:val=""/>
      <w:lvlJc w:val="left"/>
      <w:pPr>
        <w:ind w:left="2880" w:hanging="360"/>
      </w:pPr>
      <w:rPr>
        <w:rFonts w:ascii="Symbol" w:hAnsi="Symbol" w:hint="default"/>
      </w:rPr>
    </w:lvl>
    <w:lvl w:ilvl="4" w:tplc="B5A4DD9E" w:tentative="1">
      <w:start w:val="1"/>
      <w:numFmt w:val="bullet"/>
      <w:lvlText w:val="o"/>
      <w:lvlJc w:val="left"/>
      <w:pPr>
        <w:ind w:left="3600" w:hanging="360"/>
      </w:pPr>
      <w:rPr>
        <w:rFonts w:ascii="Courier New" w:hAnsi="Courier New" w:cs="Courier New" w:hint="default"/>
      </w:rPr>
    </w:lvl>
    <w:lvl w:ilvl="5" w:tplc="9F808FE6" w:tentative="1">
      <w:start w:val="1"/>
      <w:numFmt w:val="bullet"/>
      <w:lvlText w:val=""/>
      <w:lvlJc w:val="left"/>
      <w:pPr>
        <w:ind w:left="4320" w:hanging="360"/>
      </w:pPr>
      <w:rPr>
        <w:rFonts w:ascii="Wingdings" w:hAnsi="Wingdings" w:hint="default"/>
      </w:rPr>
    </w:lvl>
    <w:lvl w:ilvl="6" w:tplc="D982E9C8" w:tentative="1">
      <w:start w:val="1"/>
      <w:numFmt w:val="bullet"/>
      <w:lvlText w:val=""/>
      <w:lvlJc w:val="left"/>
      <w:pPr>
        <w:ind w:left="5040" w:hanging="360"/>
      </w:pPr>
      <w:rPr>
        <w:rFonts w:ascii="Symbol" w:hAnsi="Symbol" w:hint="default"/>
      </w:rPr>
    </w:lvl>
    <w:lvl w:ilvl="7" w:tplc="1B4EF55A" w:tentative="1">
      <w:start w:val="1"/>
      <w:numFmt w:val="bullet"/>
      <w:lvlText w:val="o"/>
      <w:lvlJc w:val="left"/>
      <w:pPr>
        <w:ind w:left="5760" w:hanging="360"/>
      </w:pPr>
      <w:rPr>
        <w:rFonts w:ascii="Courier New" w:hAnsi="Courier New" w:cs="Courier New" w:hint="default"/>
      </w:rPr>
    </w:lvl>
    <w:lvl w:ilvl="8" w:tplc="3AD45692" w:tentative="1">
      <w:start w:val="1"/>
      <w:numFmt w:val="bullet"/>
      <w:lvlText w:val=""/>
      <w:lvlJc w:val="left"/>
      <w:pPr>
        <w:ind w:left="6480" w:hanging="360"/>
      </w:pPr>
      <w:rPr>
        <w:rFonts w:ascii="Wingdings" w:hAnsi="Wingdings" w:hint="default"/>
      </w:rPr>
    </w:lvl>
  </w:abstractNum>
  <w:abstractNum w:abstractNumId="6" w15:restartNumberingAfterBreak="0">
    <w:nsid w:val="60CD74C1"/>
    <w:multiLevelType w:val="hybridMultilevel"/>
    <w:tmpl w:val="B8DAF2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1C32FE2"/>
    <w:multiLevelType w:val="hybridMultilevel"/>
    <w:tmpl w:val="5666E6E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C214782"/>
    <w:multiLevelType w:val="hybridMultilevel"/>
    <w:tmpl w:val="F518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78459">
    <w:abstractNumId w:val="5"/>
  </w:num>
  <w:num w:numId="2" w16cid:durableId="1740589037">
    <w:abstractNumId w:val="2"/>
  </w:num>
  <w:num w:numId="3" w16cid:durableId="1502700988">
    <w:abstractNumId w:val="7"/>
  </w:num>
  <w:num w:numId="4" w16cid:durableId="2060281847">
    <w:abstractNumId w:val="4"/>
  </w:num>
  <w:num w:numId="5" w16cid:durableId="243609484">
    <w:abstractNumId w:val="3"/>
  </w:num>
  <w:num w:numId="6" w16cid:durableId="121845069">
    <w:abstractNumId w:val="0"/>
  </w:num>
  <w:num w:numId="7" w16cid:durableId="9915796">
    <w:abstractNumId w:val="8"/>
  </w:num>
  <w:num w:numId="8" w16cid:durableId="1398019918">
    <w:abstractNumId w:val="1"/>
  </w:num>
  <w:num w:numId="9" w16cid:durableId="1851721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B"/>
    <w:rsid w:val="001017BF"/>
    <w:rsid w:val="00332D0D"/>
    <w:rsid w:val="003E397D"/>
    <w:rsid w:val="004B1047"/>
    <w:rsid w:val="004C4459"/>
    <w:rsid w:val="004F43F2"/>
    <w:rsid w:val="00511C6E"/>
    <w:rsid w:val="005F2A4B"/>
    <w:rsid w:val="006A64EF"/>
    <w:rsid w:val="00753C3E"/>
    <w:rsid w:val="008F38D5"/>
    <w:rsid w:val="009536FA"/>
    <w:rsid w:val="009F7A82"/>
    <w:rsid w:val="00A62167"/>
    <w:rsid w:val="00A93E6D"/>
    <w:rsid w:val="00BE7B0D"/>
    <w:rsid w:val="00BF4418"/>
    <w:rsid w:val="00C969CA"/>
    <w:rsid w:val="00C97BF2"/>
    <w:rsid w:val="00D55282"/>
    <w:rsid w:val="00E219FA"/>
    <w:rsid w:val="00EC1EB0"/>
    <w:rsid w:val="00ED124D"/>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017"/>
  <w15:chartTrackingRefBased/>
  <w15:docId w15:val="{AFAD3F99-C855-474E-91BC-4956D53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167"/>
    <w:rPr>
      <w:color w:val="0563C1" w:themeColor="hyperlink"/>
      <w:u w:val="single"/>
    </w:rPr>
  </w:style>
  <w:style w:type="character" w:styleId="UnresolvedMention">
    <w:name w:val="Unresolved Mention"/>
    <w:basedOn w:val="DefaultParagraphFont"/>
    <w:uiPriority w:val="99"/>
    <w:semiHidden/>
    <w:unhideWhenUsed/>
    <w:rsid w:val="00A62167"/>
    <w:rPr>
      <w:color w:val="605E5C"/>
      <w:shd w:val="clear" w:color="auto" w:fill="E1DFDD"/>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4C4459"/>
    <w:pPr>
      <w:spacing w:after="0" w:line="240" w:lineRule="auto"/>
      <w:ind w:left="720"/>
      <w:contextualSpacing/>
      <w:jc w:val="both"/>
    </w:pPr>
    <w:rPr>
      <w:rFonts w:ascii="Arial" w:eastAsia="SimSun" w:hAnsi="Arial" w:cs="Times New Roman"/>
      <w:lang w:eastAsia="zh-CN"/>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4C4459"/>
    <w:rPr>
      <w:rFonts w:ascii="Arial" w:eastAsia="SimSun" w:hAnsi="Arial" w:cs="Times New Roman"/>
      <w:lang w:eastAsia="zh-CN"/>
    </w:rPr>
  </w:style>
  <w:style w:type="paragraph" w:customStyle="1" w:styleId="ssPara1">
    <w:name w:val="ssPara1"/>
    <w:basedOn w:val="Normal"/>
    <w:link w:val="ssPara1Char"/>
    <w:rsid w:val="00753C3E"/>
    <w:pPr>
      <w:spacing w:after="260" w:line="240" w:lineRule="auto"/>
      <w:jc w:val="both"/>
    </w:pPr>
    <w:rPr>
      <w:rFonts w:ascii="Arial" w:eastAsia="SimSun" w:hAnsi="Arial" w:cs="Times New Roman"/>
      <w:lang w:eastAsia="zh-CN"/>
    </w:rPr>
  </w:style>
  <w:style w:type="character" w:customStyle="1" w:styleId="ssPara1Char">
    <w:name w:val="ssPara1 Char"/>
    <w:basedOn w:val="DefaultParagraphFont"/>
    <w:link w:val="ssPara1"/>
    <w:rsid w:val="00753C3E"/>
    <w:rPr>
      <w:rFonts w:ascii="Arial" w:eastAsia="SimSun" w:hAnsi="Arial" w:cs="Times New Roman"/>
      <w:lang w:eastAsia="zh-CN"/>
    </w:rPr>
  </w:style>
  <w:style w:type="paragraph" w:styleId="Header">
    <w:name w:val="header"/>
    <w:basedOn w:val="Normal"/>
    <w:link w:val="HeaderChar"/>
    <w:uiPriority w:val="99"/>
    <w:unhideWhenUsed/>
    <w:rsid w:val="0010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7BF"/>
  </w:style>
  <w:style w:type="paragraph" w:styleId="Footer">
    <w:name w:val="footer"/>
    <w:basedOn w:val="Normal"/>
    <w:link w:val="FooterChar"/>
    <w:uiPriority w:val="99"/>
    <w:unhideWhenUsed/>
    <w:rsid w:val="0010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MomentumMetropolitan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Power</dc:creator>
  <cp:keywords/>
  <dc:description/>
  <cp:lastModifiedBy>Roxanne Power</cp:lastModifiedBy>
  <cp:revision>4</cp:revision>
  <dcterms:created xsi:type="dcterms:W3CDTF">2023-01-12T12:08:00Z</dcterms:created>
  <dcterms:modified xsi:type="dcterms:W3CDTF">2023-01-12T12:33:00Z</dcterms:modified>
</cp:coreProperties>
</file>